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035" w:rsidRPr="00B34640" w:rsidRDefault="00251035" w:rsidP="00D54EB3">
      <w:pPr>
        <w:pStyle w:val="NoSpacing"/>
        <w:jc w:val="both"/>
        <w:rPr>
          <w:rFonts w:ascii="Arial Narrow" w:hAnsi="Arial Narrow"/>
          <w:lang w:val="es-PR"/>
        </w:rPr>
      </w:pPr>
    </w:p>
    <w:p w:rsidR="00251035" w:rsidRPr="00B34640" w:rsidRDefault="00251035" w:rsidP="00D54EB3">
      <w:pPr>
        <w:pStyle w:val="NoSpacing"/>
        <w:jc w:val="both"/>
        <w:rPr>
          <w:rFonts w:ascii="Arial Narrow" w:hAnsi="Arial Narrow"/>
          <w:lang w:val="es-PR"/>
        </w:rPr>
      </w:pPr>
    </w:p>
    <w:p w:rsidR="00251035" w:rsidRPr="00B34640" w:rsidRDefault="00251035" w:rsidP="00D54EB3">
      <w:pPr>
        <w:pStyle w:val="NoSpacing"/>
        <w:jc w:val="both"/>
        <w:rPr>
          <w:rFonts w:ascii="Arial Narrow" w:hAnsi="Arial Narrow"/>
          <w:lang w:val="es-PR" w:eastAsia="es-PR"/>
        </w:rPr>
      </w:pPr>
    </w:p>
    <w:p w:rsidR="00D54EB3" w:rsidRPr="00B34640" w:rsidRDefault="00D54EB3" w:rsidP="00D54EB3">
      <w:pPr>
        <w:pStyle w:val="NoSpacing"/>
        <w:jc w:val="both"/>
        <w:rPr>
          <w:rFonts w:ascii="Arial Narrow" w:hAnsi="Arial Narrow"/>
          <w:lang w:val="es-PR"/>
        </w:rPr>
      </w:pPr>
    </w:p>
    <w:p w:rsidR="0085709C" w:rsidRPr="00305F06" w:rsidRDefault="0085709C" w:rsidP="0085709C">
      <w:pPr>
        <w:jc w:val="center"/>
        <w:rPr>
          <w:rFonts w:ascii="Arial" w:hAnsi="Arial" w:cs="Arial"/>
          <w:b/>
        </w:rPr>
      </w:pPr>
    </w:p>
    <w:p w:rsidR="0085709C" w:rsidRPr="00305F06" w:rsidRDefault="0085709C" w:rsidP="0085709C">
      <w:pPr>
        <w:jc w:val="center"/>
        <w:rPr>
          <w:rFonts w:ascii="Arial" w:hAnsi="Arial" w:cs="Arial"/>
          <w:b/>
        </w:rPr>
      </w:pPr>
    </w:p>
    <w:p w:rsidR="0085709C" w:rsidRPr="00305F06" w:rsidRDefault="0085709C" w:rsidP="0085709C">
      <w:pPr>
        <w:jc w:val="center"/>
        <w:rPr>
          <w:rFonts w:ascii="Arial" w:hAnsi="Arial" w:cs="Arial"/>
          <w:b/>
          <w:lang w:val="es-PR"/>
        </w:rPr>
      </w:pPr>
      <w:r w:rsidRPr="00305F06">
        <w:rPr>
          <w:rFonts w:ascii="Arial" w:hAnsi="Arial" w:cs="Arial"/>
          <w:b/>
          <w:lang w:val="es-PR"/>
        </w:rPr>
        <w:t>ESTADO LIBRE ASOCIADO DE PUERTO RICO</w:t>
      </w:r>
    </w:p>
    <w:p w:rsidR="0085709C" w:rsidRPr="00305F06" w:rsidRDefault="0085709C" w:rsidP="0085709C">
      <w:pPr>
        <w:jc w:val="center"/>
        <w:rPr>
          <w:rFonts w:ascii="Arial" w:hAnsi="Arial" w:cs="Arial"/>
          <w:b/>
          <w:lang w:val="es-PR"/>
        </w:rPr>
      </w:pPr>
      <w:r w:rsidRPr="00305F06">
        <w:rPr>
          <w:rFonts w:ascii="Arial" w:hAnsi="Arial" w:cs="Arial"/>
          <w:b/>
          <w:lang w:val="es-PR"/>
        </w:rPr>
        <w:t>AUTORIDAD DE TIERRAS DE PUERTO RICO</w:t>
      </w:r>
    </w:p>
    <w:p w:rsidR="0085709C" w:rsidRPr="00305F06" w:rsidRDefault="0085709C" w:rsidP="0085709C">
      <w:pPr>
        <w:jc w:val="center"/>
        <w:rPr>
          <w:rFonts w:ascii="Arial" w:hAnsi="Arial" w:cs="Arial"/>
          <w:b/>
          <w:lang w:val="es-PR"/>
        </w:rPr>
      </w:pPr>
      <w:r w:rsidRPr="00305F06">
        <w:rPr>
          <w:rFonts w:ascii="Arial" w:hAnsi="Arial" w:cs="Arial"/>
          <w:b/>
          <w:lang w:val="es-PR"/>
        </w:rPr>
        <w:t>INFORME DE TRANSICIÓN 2016</w:t>
      </w:r>
    </w:p>
    <w:p w:rsidR="0085709C" w:rsidRPr="00305F06" w:rsidRDefault="0085709C" w:rsidP="0085709C">
      <w:pPr>
        <w:jc w:val="center"/>
        <w:rPr>
          <w:rFonts w:ascii="Arial" w:hAnsi="Arial" w:cs="Arial"/>
          <w:b/>
          <w:lang w:val="es-PR"/>
        </w:rPr>
      </w:pPr>
      <w:r w:rsidRPr="00305F06">
        <w:rPr>
          <w:rFonts w:ascii="Arial" w:hAnsi="Arial" w:cs="Arial"/>
          <w:b/>
          <w:lang w:val="es-PR"/>
        </w:rPr>
        <w:t>MEMORIAL</w:t>
      </w:r>
    </w:p>
    <w:p w:rsidR="0085709C" w:rsidRPr="00305F06" w:rsidRDefault="0085709C" w:rsidP="0085709C">
      <w:pPr>
        <w:jc w:val="center"/>
        <w:rPr>
          <w:rFonts w:ascii="Arial" w:hAnsi="Arial" w:cs="Arial"/>
          <w:b/>
          <w:lang w:val="es-PR"/>
        </w:rPr>
      </w:pPr>
    </w:p>
    <w:p w:rsidR="0085709C" w:rsidRPr="00305F06" w:rsidRDefault="0085709C" w:rsidP="0085709C">
      <w:pPr>
        <w:jc w:val="center"/>
        <w:rPr>
          <w:rFonts w:ascii="Arial" w:hAnsi="Arial" w:cs="Arial"/>
          <w:lang w:val="es-PR"/>
        </w:rPr>
      </w:pPr>
    </w:p>
    <w:p w:rsidR="0085709C" w:rsidRDefault="0085709C" w:rsidP="0085709C">
      <w:pPr>
        <w:jc w:val="both"/>
        <w:rPr>
          <w:rFonts w:ascii="Arial" w:hAnsi="Arial" w:cs="Arial"/>
          <w:lang w:val="es-PR"/>
        </w:rPr>
      </w:pPr>
    </w:p>
    <w:p w:rsidR="0085709C" w:rsidRPr="00381B9A" w:rsidRDefault="00381B9A" w:rsidP="0085709C">
      <w:pPr>
        <w:jc w:val="both"/>
        <w:rPr>
          <w:rFonts w:ascii="Arial" w:hAnsi="Arial" w:cs="Arial"/>
          <w:b/>
          <w:i/>
          <w:lang w:val="es-PR"/>
        </w:rPr>
      </w:pPr>
      <w:r w:rsidRPr="00381B9A">
        <w:rPr>
          <w:rFonts w:ascii="Arial" w:hAnsi="Arial" w:cs="Arial"/>
          <w:b/>
          <w:i/>
          <w:lang w:val="es-PR"/>
        </w:rPr>
        <w:t>INTRODUCCIÓN</w:t>
      </w:r>
    </w:p>
    <w:p w:rsidR="0085709C" w:rsidRPr="00305F06" w:rsidRDefault="0085709C" w:rsidP="0085709C">
      <w:pPr>
        <w:jc w:val="both"/>
        <w:rPr>
          <w:rFonts w:ascii="Arial" w:hAnsi="Arial" w:cs="Arial"/>
          <w:lang w:val="es-PR"/>
        </w:rPr>
      </w:pPr>
    </w:p>
    <w:p w:rsidR="0085709C" w:rsidRPr="00305F06" w:rsidRDefault="0085709C" w:rsidP="0085709C">
      <w:pPr>
        <w:jc w:val="both"/>
        <w:rPr>
          <w:rFonts w:ascii="Arial" w:hAnsi="Arial" w:cs="Arial"/>
          <w:b/>
          <w:i/>
          <w:lang w:val="es-PR"/>
        </w:rPr>
      </w:pPr>
      <w:r w:rsidRPr="00305F06">
        <w:rPr>
          <w:rFonts w:ascii="Arial" w:hAnsi="Arial" w:cs="Arial"/>
          <w:b/>
          <w:i/>
          <w:lang w:val="es-PR"/>
        </w:rPr>
        <w:t>BASE LEGAL</w:t>
      </w:r>
    </w:p>
    <w:p w:rsidR="0085709C" w:rsidRPr="00305F06" w:rsidRDefault="0085709C" w:rsidP="0085709C">
      <w:pPr>
        <w:jc w:val="both"/>
        <w:rPr>
          <w:rFonts w:ascii="Arial" w:hAnsi="Arial" w:cs="Arial"/>
          <w:b/>
          <w:lang w:val="es-PR"/>
        </w:rPr>
      </w:pPr>
    </w:p>
    <w:p w:rsidR="0085709C" w:rsidRDefault="0085709C" w:rsidP="0085709C">
      <w:pPr>
        <w:jc w:val="both"/>
        <w:rPr>
          <w:rFonts w:ascii="Arial" w:hAnsi="Arial" w:cs="Arial"/>
          <w:lang w:val="es-PR"/>
        </w:rPr>
      </w:pPr>
      <w:r w:rsidRPr="00305F06">
        <w:rPr>
          <w:rFonts w:ascii="Arial" w:hAnsi="Arial" w:cs="Arial"/>
          <w:lang w:val="es-PR"/>
        </w:rPr>
        <w:t xml:space="preserve">La Autoridad de Tierras de Puerto Rico fue creada en virtud de la Ley de Tierras de Puerto Rico, Ley 26 de 12 de abril de 1941.  Se incorporó a la denominada sombrilla del Departamento de Agricultura mediante el Plan de Reorganización 1 de 4 de mayo de 1994, aunque manteniendo su estatus de corporación pública, el cual le garantiza su personalidad jurídica propia e independiente.  Mediante el Plan de Reorganización 4 de 29 de julio de 2010 se le devolvió, así como a la Corporación de Seguros Agrícolas, su capacidad </w:t>
      </w:r>
      <w:proofErr w:type="spellStart"/>
      <w:r w:rsidRPr="00305F06">
        <w:rPr>
          <w:rFonts w:ascii="Arial" w:hAnsi="Arial" w:cs="Arial"/>
          <w:lang w:val="es-PR"/>
        </w:rPr>
        <w:t>reglam</w:t>
      </w:r>
      <w:bookmarkStart w:id="0" w:name="_GoBack"/>
      <w:bookmarkEnd w:id="0"/>
      <w:r w:rsidRPr="00305F06">
        <w:rPr>
          <w:rFonts w:ascii="Arial" w:hAnsi="Arial" w:cs="Arial"/>
          <w:lang w:val="es-PR"/>
        </w:rPr>
        <w:t>entadora</w:t>
      </w:r>
      <w:proofErr w:type="spellEnd"/>
      <w:r w:rsidRPr="00305F06">
        <w:rPr>
          <w:rFonts w:ascii="Arial" w:hAnsi="Arial" w:cs="Arial"/>
          <w:lang w:val="es-PR"/>
        </w:rPr>
        <w:t xml:space="preserve"> y se le reincorporó a la Autoridad de Tierras el Programa de Fincas Familiares (Título IV de la Ley de Tierras).</w:t>
      </w:r>
    </w:p>
    <w:p w:rsidR="0085709C" w:rsidRDefault="0085709C" w:rsidP="0085709C">
      <w:pPr>
        <w:jc w:val="both"/>
        <w:rPr>
          <w:rFonts w:ascii="Arial" w:hAnsi="Arial" w:cs="Arial"/>
          <w:lang w:val="es-PR"/>
        </w:rPr>
      </w:pPr>
    </w:p>
    <w:p w:rsidR="00D154F3" w:rsidRPr="00305F06" w:rsidRDefault="00D154F3" w:rsidP="0085709C">
      <w:pPr>
        <w:jc w:val="both"/>
        <w:rPr>
          <w:rFonts w:ascii="Arial" w:hAnsi="Arial" w:cs="Arial"/>
          <w:lang w:val="es-PR"/>
        </w:rPr>
      </w:pPr>
    </w:p>
    <w:p w:rsidR="0085709C" w:rsidRPr="00305F06" w:rsidRDefault="0085709C" w:rsidP="0085709C">
      <w:pPr>
        <w:jc w:val="both"/>
        <w:rPr>
          <w:rFonts w:ascii="Arial" w:hAnsi="Arial" w:cs="Arial"/>
          <w:b/>
          <w:i/>
          <w:lang w:val="es-PR"/>
        </w:rPr>
      </w:pPr>
      <w:r w:rsidRPr="00305F06">
        <w:rPr>
          <w:rFonts w:ascii="Arial" w:hAnsi="Arial" w:cs="Arial"/>
          <w:b/>
          <w:i/>
          <w:lang w:val="es-PR"/>
        </w:rPr>
        <w:t xml:space="preserve">MISIÓN Y VISIÓN </w:t>
      </w:r>
    </w:p>
    <w:p w:rsidR="0085709C" w:rsidRDefault="0085709C" w:rsidP="0085709C">
      <w:pPr>
        <w:jc w:val="both"/>
        <w:rPr>
          <w:rFonts w:ascii="Arial" w:hAnsi="Arial" w:cs="Arial"/>
          <w:lang w:val="es-PR"/>
        </w:rPr>
      </w:pPr>
    </w:p>
    <w:p w:rsidR="0085709C" w:rsidRDefault="0085709C" w:rsidP="0085709C">
      <w:pPr>
        <w:jc w:val="both"/>
        <w:rPr>
          <w:rFonts w:ascii="Arial" w:hAnsi="Arial" w:cs="Arial"/>
          <w:lang w:val="es-PR"/>
        </w:rPr>
      </w:pPr>
      <w:r w:rsidRPr="00305F06">
        <w:rPr>
          <w:rFonts w:ascii="Arial" w:hAnsi="Arial" w:cs="Arial"/>
          <w:lang w:val="es-PR"/>
        </w:rPr>
        <w:t>La misión de la agencia es custodiar y administrar los terrenos de alto valor agrícola para ponerlos a la disposición de los agricultores mediante arrendamientos económicamente viables para el desarrollo de proyectos agrícolas.  Su política pública es la de conservar y salvaguardar los terrenos agrícolas y de la misma forma adquirir para los mismos fines aquellos terrenos que por su alto potencial agrícola deban preservarse</w:t>
      </w:r>
      <w:r>
        <w:rPr>
          <w:rFonts w:ascii="Arial" w:hAnsi="Arial" w:cs="Arial"/>
          <w:lang w:val="es-PR"/>
        </w:rPr>
        <w:t>.</w:t>
      </w:r>
    </w:p>
    <w:p w:rsidR="0085709C" w:rsidRPr="00305F06" w:rsidRDefault="0085709C" w:rsidP="0085709C">
      <w:pPr>
        <w:jc w:val="both"/>
        <w:rPr>
          <w:rFonts w:ascii="Arial" w:hAnsi="Arial" w:cs="Arial"/>
          <w:lang w:val="es-PR"/>
        </w:rPr>
      </w:pPr>
    </w:p>
    <w:p w:rsidR="0085709C" w:rsidRPr="00305F06" w:rsidRDefault="0085709C" w:rsidP="0085709C">
      <w:pPr>
        <w:jc w:val="both"/>
        <w:rPr>
          <w:rFonts w:ascii="Arial" w:hAnsi="Arial" w:cs="Arial"/>
          <w:lang w:val="es-PR"/>
        </w:rPr>
      </w:pPr>
      <w:r w:rsidRPr="00305F06">
        <w:rPr>
          <w:rFonts w:ascii="Arial" w:hAnsi="Arial" w:cs="Arial"/>
          <w:lang w:val="es-PR"/>
        </w:rPr>
        <w:t>De la misma manera ayudar a planificar, implantar y desarrollar la política agraria del Estado Libre Asociado de Puerto Rico; mantener un inventario de terrenos agrícolas a disposición de los agricultores, mediante arrendamiento; fomentar el mejor uso de los terrenos agrícolas en nuestro país; proveer toda clase de ayuda técnica posible a los agricultores para que se desarrolle una agricultura sobre bases científicas de cultivo y producción; fomentar el crecimiento y desarrollo de la actividad agroindustrial en la Isla y por ende, el aumento en los empleos en el sector agrícola; y colaborar con otros organismos gubernamentales en el logro del crecimiento y desarrollo económico nacional.</w:t>
      </w:r>
      <w:r>
        <w:rPr>
          <w:rFonts w:ascii="Arial" w:hAnsi="Arial" w:cs="Arial"/>
          <w:lang w:val="es-PR"/>
        </w:rPr>
        <w:t xml:space="preserve"> </w:t>
      </w:r>
      <w:r w:rsidRPr="00305F06">
        <w:rPr>
          <w:rFonts w:ascii="Arial" w:hAnsi="Arial" w:cs="Arial"/>
          <w:lang w:val="es-PR"/>
        </w:rPr>
        <w:t xml:space="preserve"> En fin, que la Autoridad de Tierras puede y debe ser el eje alrededor del cual se implante una política de desarrollo agrícola vigorosa que viabilice la seguridad alimentaria de nuestro país en el presente y en las generaciones por venir.  </w:t>
      </w:r>
    </w:p>
    <w:p w:rsidR="0085709C" w:rsidRPr="00E452F6" w:rsidRDefault="0085709C" w:rsidP="0085709C">
      <w:pPr>
        <w:jc w:val="both"/>
        <w:rPr>
          <w:rFonts w:ascii="Arial" w:hAnsi="Arial" w:cs="Arial"/>
          <w:b/>
          <w:lang w:val="es-PR"/>
        </w:rPr>
      </w:pPr>
    </w:p>
    <w:p w:rsidR="0085709C" w:rsidRDefault="0085709C" w:rsidP="0085709C">
      <w:pPr>
        <w:jc w:val="both"/>
        <w:rPr>
          <w:rFonts w:ascii="Arial" w:hAnsi="Arial" w:cs="Arial"/>
          <w:lang w:val="es-PR"/>
        </w:rPr>
      </w:pPr>
    </w:p>
    <w:p w:rsidR="00D154F3" w:rsidRDefault="00D154F3" w:rsidP="0085709C">
      <w:pPr>
        <w:jc w:val="both"/>
        <w:rPr>
          <w:rFonts w:ascii="Arial" w:hAnsi="Arial" w:cs="Arial"/>
          <w:lang w:val="es-PR"/>
        </w:rPr>
      </w:pPr>
    </w:p>
    <w:p w:rsidR="00D154F3" w:rsidRDefault="00D154F3" w:rsidP="0085709C">
      <w:pPr>
        <w:jc w:val="both"/>
        <w:rPr>
          <w:rFonts w:ascii="Arial" w:hAnsi="Arial" w:cs="Arial"/>
          <w:lang w:val="es-PR"/>
        </w:rPr>
      </w:pPr>
    </w:p>
    <w:p w:rsidR="00D154F3" w:rsidRPr="00E452F6" w:rsidRDefault="00D154F3" w:rsidP="0085709C">
      <w:pPr>
        <w:jc w:val="both"/>
        <w:rPr>
          <w:rFonts w:ascii="Arial" w:hAnsi="Arial" w:cs="Arial"/>
          <w:lang w:val="es-PR"/>
        </w:rPr>
      </w:pPr>
    </w:p>
    <w:p w:rsidR="0085709C" w:rsidRDefault="0085709C" w:rsidP="0085709C">
      <w:pPr>
        <w:jc w:val="both"/>
        <w:rPr>
          <w:rFonts w:ascii="Arial" w:hAnsi="Arial" w:cs="Arial"/>
        </w:rPr>
      </w:pPr>
      <w:r>
        <w:rPr>
          <w:rFonts w:ascii="Arial" w:hAnsi="Arial" w:cs="Arial"/>
        </w:rPr>
        <w:t xml:space="preserve">► </w:t>
      </w:r>
      <w:proofErr w:type="spellStart"/>
      <w:r w:rsidRPr="00D154F3">
        <w:rPr>
          <w:rFonts w:ascii="Arial" w:hAnsi="Arial" w:cs="Arial"/>
          <w:b/>
          <w:i/>
        </w:rPr>
        <w:t>Estructura</w:t>
      </w:r>
      <w:proofErr w:type="spellEnd"/>
      <w:r w:rsidRPr="00D154F3">
        <w:rPr>
          <w:rFonts w:ascii="Arial" w:hAnsi="Arial" w:cs="Arial"/>
          <w:b/>
          <w:i/>
        </w:rPr>
        <w:t xml:space="preserve"> y </w:t>
      </w:r>
      <w:proofErr w:type="spellStart"/>
      <w:r w:rsidRPr="00D154F3">
        <w:rPr>
          <w:rFonts w:ascii="Arial" w:hAnsi="Arial" w:cs="Arial"/>
          <w:b/>
          <w:i/>
        </w:rPr>
        <w:t>Organigrama</w:t>
      </w:r>
      <w:proofErr w:type="spellEnd"/>
      <w:r w:rsidRPr="00D154F3">
        <w:rPr>
          <w:rFonts w:ascii="Arial" w:hAnsi="Arial" w:cs="Arial"/>
          <w:b/>
          <w:i/>
        </w:rPr>
        <w:t xml:space="preserve"> </w:t>
      </w:r>
      <w:proofErr w:type="spellStart"/>
      <w:r w:rsidRPr="00D154F3">
        <w:rPr>
          <w:rFonts w:ascii="Arial" w:hAnsi="Arial" w:cs="Arial"/>
          <w:b/>
          <w:i/>
        </w:rPr>
        <w:t>Organizacional</w:t>
      </w:r>
      <w:proofErr w:type="spellEnd"/>
    </w:p>
    <w:p w:rsidR="0085709C" w:rsidRDefault="0085709C" w:rsidP="0085709C">
      <w:pPr>
        <w:jc w:val="both"/>
        <w:rPr>
          <w:rFonts w:ascii="Arial" w:hAnsi="Arial" w:cs="Arial"/>
          <w:b/>
        </w:rPr>
      </w:pPr>
    </w:p>
    <w:p w:rsidR="00D154F3" w:rsidRDefault="00D154F3" w:rsidP="0085709C">
      <w:pPr>
        <w:jc w:val="both"/>
        <w:rPr>
          <w:rFonts w:ascii="Arial" w:hAnsi="Arial" w:cs="Arial"/>
          <w:b/>
        </w:rPr>
      </w:pPr>
    </w:p>
    <w:p w:rsidR="0085709C" w:rsidRDefault="0085709C" w:rsidP="0085709C">
      <w:pPr>
        <w:jc w:val="both"/>
        <w:rPr>
          <w:rFonts w:ascii="Arial" w:hAnsi="Arial" w:cs="Arial"/>
          <w:b/>
        </w:rPr>
      </w:pPr>
    </w:p>
    <w:p w:rsidR="0085709C" w:rsidRDefault="0085709C" w:rsidP="0085709C">
      <w:pPr>
        <w:jc w:val="both"/>
        <w:rPr>
          <w:rFonts w:ascii="Arial" w:hAnsi="Arial" w:cs="Arial"/>
          <w:lang w:val="es-ES"/>
        </w:rPr>
      </w:pPr>
      <w:r w:rsidRPr="005674BB">
        <w:rPr>
          <w:rFonts w:ascii="Arial" w:hAnsi="Arial" w:cs="Arial"/>
          <w:lang w:val="es-ES"/>
        </w:rPr>
        <w:object w:dxaOrig="15121" w:dyaOrig="9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290.25pt" o:ole="">
            <v:imagedata r:id="rId9" o:title=""/>
          </v:shape>
          <o:OLEObject Type="Embed" ProgID="AcroExch.Document.11" ShapeID="_x0000_i1025" DrawAspect="Content" ObjectID="_1539074030" r:id="rId10"/>
        </w:object>
      </w:r>
    </w:p>
    <w:p w:rsidR="0085709C" w:rsidRDefault="0085709C" w:rsidP="0085709C">
      <w:pPr>
        <w:jc w:val="both"/>
        <w:rPr>
          <w:rFonts w:ascii="Arial" w:hAnsi="Arial" w:cs="Arial"/>
          <w:lang w:val="es-ES"/>
        </w:rPr>
      </w:pPr>
    </w:p>
    <w:p w:rsidR="0085709C" w:rsidRPr="00305F06" w:rsidRDefault="00381B9A" w:rsidP="0085709C">
      <w:pPr>
        <w:jc w:val="both"/>
        <w:rPr>
          <w:rFonts w:ascii="Arial" w:hAnsi="Arial" w:cs="Arial"/>
          <w:b/>
          <w:i/>
          <w:lang w:val="es-ES"/>
        </w:rPr>
      </w:pPr>
      <w:r>
        <w:rPr>
          <w:rFonts w:ascii="Arial" w:hAnsi="Arial" w:cs="Arial"/>
          <w:b/>
          <w:i/>
          <w:lang w:val="es-ES"/>
        </w:rPr>
        <w:t>ESTRUCTURA PROGRAMÁTICA</w:t>
      </w:r>
    </w:p>
    <w:p w:rsidR="0085709C" w:rsidRPr="00305F06" w:rsidRDefault="0085709C" w:rsidP="0085709C">
      <w:pPr>
        <w:jc w:val="both"/>
        <w:rPr>
          <w:rFonts w:ascii="Arial" w:hAnsi="Arial" w:cs="Arial"/>
          <w:lang w:val="es-ES"/>
        </w:rPr>
      </w:pPr>
    </w:p>
    <w:p w:rsidR="0085709C" w:rsidRDefault="0085709C" w:rsidP="0085709C">
      <w:pPr>
        <w:jc w:val="both"/>
        <w:rPr>
          <w:rFonts w:ascii="Arial" w:hAnsi="Arial" w:cs="Arial"/>
          <w:lang w:val="es-ES"/>
        </w:rPr>
      </w:pPr>
      <w:r>
        <w:rPr>
          <w:rFonts w:ascii="Arial" w:hAnsi="Arial" w:cs="Arial"/>
          <w:lang w:val="es-ES"/>
        </w:rPr>
        <w:t>Bajo la supervisión y guía de la Junta de Gobierno, que establece</w:t>
      </w:r>
      <w:r w:rsidR="00381B9A">
        <w:rPr>
          <w:rFonts w:ascii="Arial" w:hAnsi="Arial" w:cs="Arial"/>
          <w:lang w:val="es-ES"/>
        </w:rPr>
        <w:t>n</w:t>
      </w:r>
      <w:r>
        <w:rPr>
          <w:rFonts w:ascii="Arial" w:hAnsi="Arial" w:cs="Arial"/>
          <w:lang w:val="es-ES"/>
        </w:rPr>
        <w:t xml:space="preserve"> los </w:t>
      </w:r>
      <w:r w:rsidR="00542600">
        <w:rPr>
          <w:rFonts w:ascii="Arial" w:hAnsi="Arial" w:cs="Arial"/>
          <w:lang w:val="es-ES"/>
        </w:rPr>
        <w:t>alineamientos</w:t>
      </w:r>
      <w:r>
        <w:rPr>
          <w:rFonts w:ascii="Arial" w:hAnsi="Arial" w:cs="Arial"/>
          <w:lang w:val="es-ES"/>
        </w:rPr>
        <w:t xml:space="preserve"> generales del quehacer de la agencia, cada uno de los cinco Departamentos de la Autoridad, los cuales responden directamente al Director Ejecutivo, trabajan coordinadamente para conseguir, con la mayor eficiencia posible, los fines y propósitos de ésta.  Dicha dirección y eficiencia se logran mediante reuniones periódicas, en las cuales se evalúa el trabajo realizado y las metas por conseguir.  El Departamento de Bienes Raíces es el </w:t>
      </w:r>
      <w:r w:rsidR="00A856A3">
        <w:rPr>
          <w:rFonts w:ascii="Arial" w:hAnsi="Arial" w:cs="Arial"/>
          <w:lang w:val="es-ES"/>
        </w:rPr>
        <w:t>eje central</w:t>
      </w:r>
      <w:r>
        <w:rPr>
          <w:rFonts w:ascii="Arial" w:hAnsi="Arial" w:cs="Arial"/>
          <w:lang w:val="es-ES"/>
        </w:rPr>
        <w:t xml:space="preserve"> de la agencia y todos los demás le sirven de apoyo.</w:t>
      </w:r>
    </w:p>
    <w:p w:rsidR="0085709C" w:rsidRPr="00E452F6" w:rsidRDefault="0085709C" w:rsidP="0085709C">
      <w:pPr>
        <w:jc w:val="both"/>
        <w:rPr>
          <w:rFonts w:ascii="Arial" w:hAnsi="Arial" w:cs="Arial"/>
          <w:b/>
          <w:lang w:val="es-PR"/>
        </w:rPr>
      </w:pPr>
    </w:p>
    <w:p w:rsidR="0085709C" w:rsidRDefault="0085709C" w:rsidP="0085709C">
      <w:pPr>
        <w:jc w:val="both"/>
        <w:rPr>
          <w:rFonts w:ascii="Arial" w:hAnsi="Arial" w:cs="Arial"/>
          <w:b/>
          <w:lang w:val="es-PR"/>
        </w:rPr>
      </w:pPr>
    </w:p>
    <w:p w:rsidR="00D154F3" w:rsidRDefault="00D154F3" w:rsidP="0085709C">
      <w:pPr>
        <w:jc w:val="both"/>
        <w:rPr>
          <w:rFonts w:ascii="Arial" w:hAnsi="Arial" w:cs="Arial"/>
          <w:b/>
          <w:lang w:val="es-PR"/>
        </w:rPr>
      </w:pPr>
    </w:p>
    <w:p w:rsidR="00D154F3" w:rsidRDefault="00D154F3" w:rsidP="0085709C">
      <w:pPr>
        <w:jc w:val="both"/>
        <w:rPr>
          <w:rFonts w:ascii="Arial" w:hAnsi="Arial" w:cs="Arial"/>
          <w:b/>
          <w:lang w:val="es-PR"/>
        </w:rPr>
      </w:pPr>
    </w:p>
    <w:p w:rsidR="00D154F3" w:rsidRDefault="00D154F3" w:rsidP="0085709C">
      <w:pPr>
        <w:jc w:val="both"/>
        <w:rPr>
          <w:rFonts w:ascii="Arial" w:hAnsi="Arial" w:cs="Arial"/>
          <w:b/>
          <w:lang w:val="es-PR"/>
        </w:rPr>
      </w:pPr>
    </w:p>
    <w:p w:rsidR="00D154F3" w:rsidRPr="00E452F6" w:rsidRDefault="00D154F3" w:rsidP="0085709C">
      <w:pPr>
        <w:jc w:val="both"/>
        <w:rPr>
          <w:rFonts w:ascii="Arial" w:hAnsi="Arial" w:cs="Arial"/>
          <w:b/>
          <w:lang w:val="es-PR"/>
        </w:rPr>
      </w:pPr>
    </w:p>
    <w:p w:rsidR="0085709C" w:rsidRDefault="0085709C" w:rsidP="0085709C">
      <w:pPr>
        <w:jc w:val="both"/>
        <w:rPr>
          <w:rFonts w:ascii="Arial" w:hAnsi="Arial" w:cs="Arial"/>
          <w:b/>
          <w:i/>
          <w:lang w:val="es-PR"/>
        </w:rPr>
      </w:pPr>
      <w:r w:rsidRPr="008B5B6C">
        <w:rPr>
          <w:rFonts w:ascii="Arial" w:hAnsi="Arial" w:cs="Arial"/>
          <w:b/>
          <w:i/>
          <w:lang w:val="es-PR"/>
        </w:rPr>
        <w:t>SITUACIÓN OPERACI</w:t>
      </w:r>
      <w:r>
        <w:rPr>
          <w:rFonts w:ascii="Arial" w:hAnsi="Arial" w:cs="Arial"/>
          <w:b/>
          <w:i/>
          <w:lang w:val="es-PR"/>
        </w:rPr>
        <w:t>O</w:t>
      </w:r>
      <w:r w:rsidRPr="008B5B6C">
        <w:rPr>
          <w:rFonts w:ascii="Arial" w:hAnsi="Arial" w:cs="Arial"/>
          <w:b/>
          <w:i/>
          <w:lang w:val="es-PR"/>
        </w:rPr>
        <w:t>NAL Y FISCAL DE LA AGENCIA</w:t>
      </w:r>
    </w:p>
    <w:p w:rsidR="00381B9A" w:rsidRDefault="00381B9A" w:rsidP="0085709C">
      <w:pPr>
        <w:jc w:val="both"/>
        <w:rPr>
          <w:rFonts w:ascii="Arial" w:hAnsi="Arial" w:cs="Arial"/>
          <w:lang w:val="es-PR"/>
        </w:rPr>
      </w:pPr>
    </w:p>
    <w:p w:rsidR="0085709C" w:rsidRDefault="0085709C" w:rsidP="0085709C">
      <w:pPr>
        <w:jc w:val="both"/>
        <w:rPr>
          <w:rFonts w:ascii="Arial" w:hAnsi="Arial" w:cs="Arial"/>
          <w:lang w:val="es-PR"/>
        </w:rPr>
      </w:pPr>
      <w:r w:rsidRPr="00E452F6">
        <w:rPr>
          <w:rFonts w:ascii="Arial" w:hAnsi="Arial" w:cs="Arial"/>
          <w:lang w:val="es-PR"/>
        </w:rPr>
        <w:t xml:space="preserve">La Autoridad de Tierras de Puerto Rico es una corporación pública. </w:t>
      </w:r>
      <w:r>
        <w:rPr>
          <w:rFonts w:ascii="Arial" w:hAnsi="Arial" w:cs="Arial"/>
          <w:lang w:val="es-PR"/>
        </w:rPr>
        <w:t xml:space="preserve"> </w:t>
      </w:r>
      <w:r w:rsidRPr="00E452F6">
        <w:rPr>
          <w:rFonts w:ascii="Arial" w:hAnsi="Arial" w:cs="Arial"/>
          <w:lang w:val="es-PR"/>
        </w:rPr>
        <w:t xml:space="preserve">Su </w:t>
      </w:r>
      <w:r w:rsidR="00D154F3">
        <w:rPr>
          <w:rFonts w:ascii="Arial" w:hAnsi="Arial" w:cs="Arial"/>
          <w:lang w:val="es-PR"/>
        </w:rPr>
        <w:t>O</w:t>
      </w:r>
      <w:r w:rsidR="00A856A3">
        <w:rPr>
          <w:rFonts w:ascii="Arial" w:hAnsi="Arial" w:cs="Arial"/>
          <w:lang w:val="es-PR"/>
        </w:rPr>
        <w:t>rganismo</w:t>
      </w:r>
      <w:r w:rsidRPr="00E452F6">
        <w:rPr>
          <w:rFonts w:ascii="Arial" w:hAnsi="Arial" w:cs="Arial"/>
          <w:lang w:val="es-PR"/>
        </w:rPr>
        <w:t xml:space="preserve"> </w:t>
      </w:r>
      <w:r w:rsidR="00D154F3">
        <w:rPr>
          <w:rFonts w:ascii="Arial" w:hAnsi="Arial" w:cs="Arial"/>
          <w:lang w:val="es-PR"/>
        </w:rPr>
        <w:t>R</w:t>
      </w:r>
      <w:r w:rsidRPr="00E452F6">
        <w:rPr>
          <w:rFonts w:ascii="Arial" w:hAnsi="Arial" w:cs="Arial"/>
          <w:lang w:val="es-PR"/>
        </w:rPr>
        <w:t>ector es la Junta de Gobierno, compuesta por el Secretario de Agricultura, quien es su Presidente, tres miembros ex oficio y tres representantes del sector agrícola y agroindustrial nombrados por el Gobernador.</w:t>
      </w:r>
      <w:r>
        <w:rPr>
          <w:rFonts w:ascii="Arial" w:hAnsi="Arial" w:cs="Arial"/>
          <w:lang w:val="es-PR"/>
        </w:rPr>
        <w:t xml:space="preserve"> </w:t>
      </w:r>
      <w:r w:rsidRPr="00E452F6">
        <w:rPr>
          <w:rFonts w:ascii="Arial" w:hAnsi="Arial" w:cs="Arial"/>
          <w:lang w:val="es-PR"/>
        </w:rPr>
        <w:t xml:space="preserve"> La Junta</w:t>
      </w:r>
      <w:r w:rsidR="00D154F3">
        <w:rPr>
          <w:rFonts w:ascii="Arial" w:hAnsi="Arial" w:cs="Arial"/>
          <w:lang w:val="es-PR"/>
        </w:rPr>
        <w:t xml:space="preserve"> de Gobierno</w:t>
      </w:r>
      <w:r w:rsidRPr="00E452F6">
        <w:rPr>
          <w:rFonts w:ascii="Arial" w:hAnsi="Arial" w:cs="Arial"/>
          <w:lang w:val="es-PR"/>
        </w:rPr>
        <w:t xml:space="preserve"> ratifica a su vez, al Director Ejecutivo quien es nombrado por el Gobernador. </w:t>
      </w:r>
      <w:r>
        <w:rPr>
          <w:rFonts w:ascii="Arial" w:hAnsi="Arial" w:cs="Arial"/>
          <w:lang w:val="es-PR"/>
        </w:rPr>
        <w:t xml:space="preserve"> </w:t>
      </w:r>
      <w:r w:rsidRPr="00E452F6">
        <w:rPr>
          <w:rFonts w:ascii="Arial" w:hAnsi="Arial" w:cs="Arial"/>
          <w:lang w:val="es-PR"/>
        </w:rPr>
        <w:t>Al día de hoy el Pueblo de Puerto Rico posee, a través de su Autoridad de Tierras, unas 85,708 cuerdas de terreno repartidas en su gran mayoría a través de su territorio costero,</w:t>
      </w:r>
      <w:r w:rsidR="006E1D28">
        <w:rPr>
          <w:rFonts w:ascii="Arial" w:hAnsi="Arial" w:cs="Arial"/>
          <w:lang w:val="es-PR"/>
        </w:rPr>
        <w:t xml:space="preserve"> de las cuales alrededor de</w:t>
      </w:r>
      <w:r w:rsidRPr="00E452F6">
        <w:rPr>
          <w:rFonts w:ascii="Arial" w:hAnsi="Arial" w:cs="Arial"/>
          <w:lang w:val="es-PR"/>
        </w:rPr>
        <w:t xml:space="preserve"> 7</w:t>
      </w:r>
      <w:r w:rsidR="006E1D28">
        <w:rPr>
          <w:rFonts w:ascii="Arial" w:hAnsi="Arial" w:cs="Arial"/>
          <w:lang w:val="es-PR"/>
        </w:rPr>
        <w:t>3</w:t>
      </w:r>
      <w:r w:rsidRPr="00E452F6">
        <w:rPr>
          <w:rFonts w:ascii="Arial" w:hAnsi="Arial" w:cs="Arial"/>
          <w:lang w:val="es-PR"/>
        </w:rPr>
        <w:t>,000</w:t>
      </w:r>
      <w:r w:rsidR="006E1D28">
        <w:rPr>
          <w:rFonts w:ascii="Arial" w:hAnsi="Arial" w:cs="Arial"/>
          <w:lang w:val="es-PR"/>
        </w:rPr>
        <w:t xml:space="preserve"> cuerdas son de</w:t>
      </w:r>
      <w:r w:rsidRPr="00E452F6">
        <w:rPr>
          <w:rFonts w:ascii="Arial" w:hAnsi="Arial" w:cs="Arial"/>
          <w:lang w:val="es-PR"/>
        </w:rPr>
        <w:t xml:space="preserve"> alto potencial agrícola. </w:t>
      </w:r>
      <w:r>
        <w:rPr>
          <w:rFonts w:ascii="Arial" w:hAnsi="Arial" w:cs="Arial"/>
          <w:lang w:val="es-PR"/>
        </w:rPr>
        <w:t xml:space="preserve"> </w:t>
      </w:r>
      <w:r w:rsidRPr="00E452F6">
        <w:rPr>
          <w:rFonts w:ascii="Arial" w:hAnsi="Arial" w:cs="Arial"/>
          <w:lang w:val="es-PR"/>
        </w:rPr>
        <w:t>De éstas, se encuentran arrendadas</w:t>
      </w:r>
      <w:r w:rsidR="00C150FD">
        <w:rPr>
          <w:rFonts w:ascii="Arial" w:hAnsi="Arial" w:cs="Arial"/>
          <w:lang w:val="es-PR"/>
        </w:rPr>
        <w:t xml:space="preserve">, en trámite o comprometidas con proyectos agrícolas </w:t>
      </w:r>
      <w:r w:rsidRPr="00E452F6">
        <w:rPr>
          <w:rFonts w:ascii="Arial" w:hAnsi="Arial" w:cs="Arial"/>
          <w:lang w:val="es-PR"/>
        </w:rPr>
        <w:t xml:space="preserve">72,683 cuerdas, repartidas en </w:t>
      </w:r>
      <w:proofErr w:type="spellStart"/>
      <w:r w:rsidR="00C150FD">
        <w:rPr>
          <w:rFonts w:ascii="Arial" w:hAnsi="Arial" w:cs="Arial"/>
          <w:lang w:val="es-PR"/>
        </w:rPr>
        <w:t>en</w:t>
      </w:r>
      <w:proofErr w:type="spellEnd"/>
      <w:r w:rsidR="00C150FD">
        <w:rPr>
          <w:rFonts w:ascii="Arial" w:hAnsi="Arial" w:cs="Arial"/>
          <w:lang w:val="es-PR"/>
        </w:rPr>
        <w:t xml:space="preserve"> </w:t>
      </w:r>
      <w:r w:rsidR="002A6238">
        <w:rPr>
          <w:rFonts w:ascii="Arial" w:hAnsi="Arial" w:cs="Arial"/>
          <w:lang w:val="es-PR"/>
        </w:rPr>
        <w:t>más</w:t>
      </w:r>
      <w:r w:rsidRPr="009A621C">
        <w:rPr>
          <w:rFonts w:ascii="Arial" w:hAnsi="Arial" w:cs="Arial"/>
          <w:color w:val="FF0000"/>
          <w:lang w:val="es-PR"/>
        </w:rPr>
        <w:t xml:space="preserve"> </w:t>
      </w:r>
      <w:r w:rsidRPr="00E452F6">
        <w:rPr>
          <w:rFonts w:ascii="Arial" w:hAnsi="Arial" w:cs="Arial"/>
          <w:lang w:val="es-PR"/>
        </w:rPr>
        <w:t xml:space="preserve">de 600 clientes, a través de 741 contratos. </w:t>
      </w:r>
    </w:p>
    <w:p w:rsidR="0085709C" w:rsidRPr="00E452F6" w:rsidRDefault="0085709C" w:rsidP="0085709C">
      <w:pPr>
        <w:jc w:val="both"/>
        <w:rPr>
          <w:rFonts w:ascii="Arial" w:hAnsi="Arial" w:cs="Arial"/>
          <w:lang w:val="es-PR"/>
        </w:rPr>
      </w:pPr>
    </w:p>
    <w:p w:rsidR="0085709C" w:rsidRPr="00E452F6" w:rsidRDefault="0085709C" w:rsidP="0085709C">
      <w:pPr>
        <w:jc w:val="both"/>
        <w:rPr>
          <w:rFonts w:ascii="Arial" w:hAnsi="Arial" w:cs="Arial"/>
          <w:lang w:val="es-PR"/>
        </w:rPr>
      </w:pPr>
      <w:r w:rsidRPr="00E452F6">
        <w:rPr>
          <w:rFonts w:ascii="Arial" w:hAnsi="Arial" w:cs="Arial"/>
          <w:lang w:val="es-PR"/>
        </w:rPr>
        <w:t>La Autoridad posee o administra, además, mediante su Programa de Fincas Familiares, un total de 53,000 cuerdas de terreno ubicadas en 185 Proyectos los cuales a</w:t>
      </w:r>
      <w:r>
        <w:rPr>
          <w:rFonts w:ascii="Arial" w:hAnsi="Arial" w:cs="Arial"/>
          <w:lang w:val="es-PR"/>
        </w:rPr>
        <w:t xml:space="preserve"> </w:t>
      </w:r>
      <w:r w:rsidRPr="00E452F6">
        <w:rPr>
          <w:rFonts w:ascii="Arial" w:hAnsi="Arial" w:cs="Arial"/>
          <w:lang w:val="es-PR"/>
        </w:rPr>
        <w:t>su vez se dividen en 3,295 fincas familiares.  De estas fincas familiares 2,132 ya sus agricultores son titulares y 1,163 se encuentra</w:t>
      </w:r>
      <w:r w:rsidR="00D154F3">
        <w:rPr>
          <w:rFonts w:ascii="Arial" w:hAnsi="Arial" w:cs="Arial"/>
          <w:lang w:val="es-PR"/>
        </w:rPr>
        <w:t>n</w:t>
      </w:r>
      <w:r w:rsidRPr="00E452F6">
        <w:rPr>
          <w:rFonts w:ascii="Arial" w:hAnsi="Arial" w:cs="Arial"/>
          <w:lang w:val="es-PR"/>
        </w:rPr>
        <w:t xml:space="preserve"> en usufructo o arrendamiento.  </w:t>
      </w:r>
    </w:p>
    <w:p w:rsidR="0085709C" w:rsidRPr="00E452F6" w:rsidRDefault="0085709C" w:rsidP="0085709C">
      <w:pPr>
        <w:jc w:val="both"/>
        <w:rPr>
          <w:rFonts w:ascii="Arial" w:hAnsi="Arial" w:cs="Arial"/>
          <w:lang w:val="es-PR"/>
        </w:rPr>
      </w:pPr>
    </w:p>
    <w:p w:rsidR="0085709C" w:rsidRDefault="0085709C" w:rsidP="0085709C">
      <w:pPr>
        <w:jc w:val="both"/>
        <w:rPr>
          <w:rFonts w:ascii="Arial" w:hAnsi="Arial" w:cs="Arial"/>
          <w:lang w:val="es-PR"/>
        </w:rPr>
      </w:pPr>
      <w:r w:rsidRPr="00E452F6">
        <w:rPr>
          <w:rFonts w:ascii="Arial" w:hAnsi="Arial" w:cs="Arial"/>
          <w:lang w:val="es-PR"/>
        </w:rPr>
        <w:t>Para lograr sus fines la Autoridad cuenta con una plantilla de 143 empleados, de los cuales 50 son sindicados y 93 gerenciales, o de confianza (al 9 de septiembre de 2016 eran 145).</w:t>
      </w:r>
    </w:p>
    <w:p w:rsidR="0085709C" w:rsidRPr="00E452F6" w:rsidRDefault="0085709C" w:rsidP="0085709C">
      <w:pPr>
        <w:jc w:val="both"/>
        <w:rPr>
          <w:rFonts w:ascii="Arial" w:hAnsi="Arial" w:cs="Arial"/>
          <w:lang w:val="es-PR"/>
        </w:rPr>
      </w:pPr>
    </w:p>
    <w:p w:rsidR="0085709C" w:rsidRDefault="0085709C" w:rsidP="0085709C">
      <w:pPr>
        <w:jc w:val="both"/>
        <w:rPr>
          <w:rFonts w:ascii="Arial" w:hAnsi="Arial" w:cs="Arial"/>
          <w:lang w:val="es-PR"/>
        </w:rPr>
      </w:pPr>
      <w:r w:rsidRPr="00E452F6">
        <w:rPr>
          <w:rFonts w:ascii="Arial" w:hAnsi="Arial" w:cs="Arial"/>
          <w:lang w:val="es-PR"/>
        </w:rPr>
        <w:t>El presupuesto aprobado para el año fiscal vigente es de $9</w:t>
      </w:r>
      <w:proofErr w:type="gramStart"/>
      <w:r w:rsidRPr="00E452F6">
        <w:rPr>
          <w:rFonts w:ascii="Arial" w:hAnsi="Arial" w:cs="Arial"/>
          <w:lang w:val="es-PR"/>
        </w:rPr>
        <w:t>,437,000</w:t>
      </w:r>
      <w:proofErr w:type="gramEnd"/>
      <w:r w:rsidRPr="00E452F6">
        <w:rPr>
          <w:rFonts w:ascii="Arial" w:hAnsi="Arial" w:cs="Arial"/>
          <w:lang w:val="es-PR"/>
        </w:rPr>
        <w:t xml:space="preserve"> los cuales provienen en su totalidad de ingresos propios de la agencia, la cual no recibe asignaciones del Fondo General.  No obstante, la fuente principal de ingresos recurrentes de la agencia son los cánones de arrendamiento, los cuales sumaron, el año fiscal pasado, $6.966,452, aunque la totalidad de nuestros ingresos ascendió a $9</w:t>
      </w:r>
      <w:proofErr w:type="gramStart"/>
      <w:r w:rsidRPr="00E452F6">
        <w:rPr>
          <w:rFonts w:ascii="Arial" w:hAnsi="Arial" w:cs="Arial"/>
          <w:lang w:val="es-PR"/>
        </w:rPr>
        <w:t>,201,238</w:t>
      </w:r>
      <w:proofErr w:type="gramEnd"/>
      <w:r w:rsidRPr="00E452F6">
        <w:rPr>
          <w:rFonts w:ascii="Arial" w:hAnsi="Arial" w:cs="Arial"/>
          <w:lang w:val="es-PR"/>
        </w:rPr>
        <w:t xml:space="preserve">. </w:t>
      </w:r>
      <w:r>
        <w:rPr>
          <w:rFonts w:ascii="Arial" w:hAnsi="Arial" w:cs="Arial"/>
          <w:lang w:val="es-PR"/>
        </w:rPr>
        <w:t xml:space="preserve"> </w:t>
      </w:r>
      <w:r w:rsidRPr="00E452F6">
        <w:rPr>
          <w:rFonts w:ascii="Arial" w:hAnsi="Arial" w:cs="Arial"/>
          <w:lang w:val="es-PR"/>
        </w:rPr>
        <w:t xml:space="preserve">Tradicionalmente, el déficit presupuestario se ha cubierto con la venta de terrenos de poca o ninguna utilidad agrícola.  </w:t>
      </w:r>
    </w:p>
    <w:p w:rsidR="0085709C" w:rsidRPr="00E452F6" w:rsidRDefault="0085709C" w:rsidP="0085709C">
      <w:pPr>
        <w:jc w:val="both"/>
        <w:rPr>
          <w:rFonts w:ascii="Arial" w:hAnsi="Arial" w:cs="Arial"/>
          <w:lang w:val="es-PR"/>
        </w:rPr>
      </w:pPr>
    </w:p>
    <w:p w:rsidR="0085709C" w:rsidRPr="00E452F6" w:rsidRDefault="0085709C" w:rsidP="0085709C">
      <w:pPr>
        <w:jc w:val="both"/>
        <w:rPr>
          <w:rFonts w:ascii="Arial" w:hAnsi="Arial" w:cs="Arial"/>
          <w:lang w:val="es-PR"/>
        </w:rPr>
      </w:pPr>
      <w:r w:rsidRPr="00E452F6">
        <w:rPr>
          <w:rFonts w:ascii="Arial" w:hAnsi="Arial" w:cs="Arial"/>
          <w:lang w:val="es-PR"/>
        </w:rPr>
        <w:t xml:space="preserve">Es importante señalar que en el 2013 encontramos la Autoridad de Tierras con una situación fiscal y operacional alarmante, con un presupuesto de gastos que excedía los ingresos, fincas en abandono y gran cantidad de solicitudes de arrendamiento y renovaciones sin atender. </w:t>
      </w:r>
    </w:p>
    <w:p w:rsidR="0085709C" w:rsidRDefault="0085709C" w:rsidP="0085709C">
      <w:pPr>
        <w:jc w:val="both"/>
        <w:rPr>
          <w:rFonts w:ascii="Arial" w:hAnsi="Arial" w:cs="Arial"/>
          <w:lang w:val="es-PR"/>
        </w:rPr>
      </w:pPr>
    </w:p>
    <w:p w:rsidR="00D154F3" w:rsidRDefault="00D154F3" w:rsidP="0085709C">
      <w:pPr>
        <w:jc w:val="both"/>
        <w:rPr>
          <w:rFonts w:ascii="Arial" w:hAnsi="Arial" w:cs="Arial"/>
          <w:lang w:val="es-PR"/>
        </w:rPr>
      </w:pPr>
    </w:p>
    <w:p w:rsidR="0085709C" w:rsidRPr="0085709C" w:rsidRDefault="0085709C" w:rsidP="0085709C">
      <w:pPr>
        <w:jc w:val="both"/>
        <w:rPr>
          <w:rFonts w:ascii="Arial" w:hAnsi="Arial" w:cs="Arial"/>
          <w:b/>
          <w:i/>
          <w:lang w:val="es-PR"/>
        </w:rPr>
      </w:pPr>
      <w:r w:rsidRPr="0085709C">
        <w:rPr>
          <w:rFonts w:ascii="Arial" w:hAnsi="Arial" w:cs="Arial"/>
          <w:b/>
          <w:i/>
          <w:lang w:val="es-PR"/>
        </w:rPr>
        <w:t>SITUACION FINANCIERA</w:t>
      </w:r>
    </w:p>
    <w:p w:rsidR="0085709C" w:rsidRPr="00127A9B" w:rsidRDefault="0085709C" w:rsidP="0085709C">
      <w:pPr>
        <w:jc w:val="both"/>
        <w:rPr>
          <w:rFonts w:ascii="Arial" w:hAnsi="Arial" w:cs="Arial"/>
          <w:b/>
          <w:lang w:val="es-PR"/>
        </w:rPr>
      </w:pPr>
    </w:p>
    <w:p w:rsidR="0085709C" w:rsidRDefault="0085709C" w:rsidP="0085709C">
      <w:pPr>
        <w:jc w:val="both"/>
        <w:rPr>
          <w:rFonts w:ascii="Arial" w:hAnsi="Arial" w:cs="Arial"/>
          <w:lang w:val="es-PR"/>
        </w:rPr>
      </w:pPr>
      <w:r w:rsidRPr="00127A9B">
        <w:rPr>
          <w:rFonts w:ascii="Arial" w:hAnsi="Arial" w:cs="Arial"/>
          <w:lang w:val="es-PR"/>
        </w:rPr>
        <w:t>La Autoridad de Tierras de Puerto Rico es una corporación pública que genera sus propios ingresos y no recibe fondos del fondo general.</w:t>
      </w:r>
    </w:p>
    <w:p w:rsidR="00D154F3" w:rsidRPr="00127A9B" w:rsidRDefault="00D154F3" w:rsidP="0085709C">
      <w:pPr>
        <w:jc w:val="both"/>
        <w:rPr>
          <w:rFonts w:ascii="Arial" w:hAnsi="Arial" w:cs="Arial"/>
          <w:lang w:val="es-PR"/>
        </w:rPr>
      </w:pPr>
    </w:p>
    <w:p w:rsidR="0085709C" w:rsidRDefault="0085709C" w:rsidP="0085709C">
      <w:pPr>
        <w:jc w:val="both"/>
        <w:rPr>
          <w:rFonts w:ascii="Arial" w:hAnsi="Arial" w:cs="Arial"/>
          <w:lang w:val="es-PR"/>
        </w:rPr>
      </w:pPr>
      <w:r w:rsidRPr="00127A9B">
        <w:rPr>
          <w:rFonts w:ascii="Arial" w:hAnsi="Arial" w:cs="Arial"/>
          <w:lang w:val="es-PR"/>
        </w:rPr>
        <w:t>Se presenta un presupuesto de gasto</w:t>
      </w:r>
      <w:r w:rsidR="00D154F3">
        <w:rPr>
          <w:rFonts w:ascii="Arial" w:hAnsi="Arial" w:cs="Arial"/>
          <w:lang w:val="es-PR"/>
        </w:rPr>
        <w:t>s</w:t>
      </w:r>
      <w:r w:rsidRPr="00127A9B">
        <w:rPr>
          <w:rFonts w:ascii="Arial" w:hAnsi="Arial" w:cs="Arial"/>
          <w:lang w:val="es-PR"/>
        </w:rPr>
        <w:t xml:space="preserve"> a la Oficina de Gerencia y Presupuesto y se proyectan los ingresos a generar en la operación diaria de la corporación.</w:t>
      </w:r>
    </w:p>
    <w:p w:rsidR="00D154F3" w:rsidRDefault="00D154F3" w:rsidP="0085709C">
      <w:pPr>
        <w:jc w:val="both"/>
        <w:rPr>
          <w:rFonts w:ascii="Arial" w:hAnsi="Arial" w:cs="Arial"/>
          <w:lang w:val="es-PR"/>
        </w:rPr>
      </w:pPr>
    </w:p>
    <w:p w:rsidR="00D154F3" w:rsidRPr="00127A9B" w:rsidRDefault="00D154F3" w:rsidP="0085709C">
      <w:pPr>
        <w:jc w:val="both"/>
        <w:rPr>
          <w:rFonts w:ascii="Arial" w:hAnsi="Arial" w:cs="Arial"/>
          <w:lang w:val="es-PR"/>
        </w:rPr>
      </w:pPr>
    </w:p>
    <w:p w:rsidR="0085709C" w:rsidRPr="00127A9B" w:rsidRDefault="0085709C" w:rsidP="0085709C">
      <w:pPr>
        <w:jc w:val="both"/>
        <w:rPr>
          <w:rFonts w:ascii="Arial" w:hAnsi="Arial" w:cs="Arial"/>
          <w:lang w:val="es-PR"/>
        </w:rPr>
      </w:pPr>
      <w:r w:rsidRPr="00127A9B">
        <w:rPr>
          <w:rFonts w:ascii="Arial" w:hAnsi="Arial" w:cs="Arial"/>
          <w:lang w:val="es-PR"/>
        </w:rPr>
        <w:lastRenderedPageBreak/>
        <w:t>El presupuesto de ingresos estimados para el año fiscal 2016-2017 se distribuye entre los siguientes renglones:</w:t>
      </w:r>
    </w:p>
    <w:p w:rsidR="0085709C" w:rsidRPr="00127A9B" w:rsidRDefault="0085709C" w:rsidP="0085709C">
      <w:pPr>
        <w:jc w:val="both"/>
        <w:rPr>
          <w:rFonts w:ascii="Arial" w:hAnsi="Arial" w:cs="Arial"/>
          <w:lang w:val="es-PR"/>
        </w:rPr>
      </w:pPr>
    </w:p>
    <w:p w:rsidR="0085709C" w:rsidRPr="0085709C" w:rsidRDefault="0085709C" w:rsidP="0085709C">
      <w:pPr>
        <w:jc w:val="both"/>
        <w:rPr>
          <w:rFonts w:ascii="Arial Narrow" w:hAnsi="Arial Narrow" w:cs="Arial"/>
          <w:b/>
          <w:i/>
          <w:lang w:val="es-PR"/>
        </w:rPr>
      </w:pPr>
      <w:r w:rsidRPr="0085709C">
        <w:rPr>
          <w:rFonts w:ascii="Arial Narrow" w:hAnsi="Arial Narrow" w:cs="Arial"/>
          <w:b/>
          <w:i/>
          <w:lang w:val="es-PR"/>
        </w:rPr>
        <w:t>CONCEPTO DEL INGRESO ESTIMADO</w:t>
      </w:r>
      <w:r w:rsidRPr="0085709C">
        <w:rPr>
          <w:rFonts w:ascii="Arial Narrow" w:hAnsi="Arial Narrow" w:cs="Arial"/>
          <w:b/>
          <w:i/>
          <w:lang w:val="es-PR"/>
        </w:rPr>
        <w:tab/>
      </w:r>
      <w:r w:rsidRPr="0085709C">
        <w:rPr>
          <w:rFonts w:ascii="Arial Narrow" w:hAnsi="Arial Narrow" w:cs="Arial"/>
          <w:b/>
          <w:i/>
          <w:lang w:val="es-PR"/>
        </w:rPr>
        <w:tab/>
      </w:r>
      <w:r w:rsidRPr="0085709C">
        <w:rPr>
          <w:rFonts w:ascii="Arial Narrow" w:hAnsi="Arial Narrow" w:cs="Arial"/>
          <w:b/>
          <w:i/>
          <w:lang w:val="es-PR"/>
        </w:rPr>
        <w:tab/>
        <w:t>CANTIDAD ESTIMADA</w:t>
      </w:r>
    </w:p>
    <w:p w:rsidR="0085709C" w:rsidRPr="0085709C" w:rsidRDefault="0085709C" w:rsidP="0085709C">
      <w:pPr>
        <w:jc w:val="both"/>
        <w:rPr>
          <w:rFonts w:ascii="Arial Narrow" w:hAnsi="Arial Narrow" w:cs="Arial"/>
          <w:lang w:val="es-PR"/>
        </w:rPr>
      </w:pPr>
    </w:p>
    <w:p w:rsidR="0085709C" w:rsidRPr="0085709C" w:rsidRDefault="0085709C" w:rsidP="0085709C">
      <w:pPr>
        <w:jc w:val="both"/>
        <w:rPr>
          <w:rFonts w:ascii="Arial Narrow" w:hAnsi="Arial Narrow" w:cs="Arial"/>
          <w:lang w:val="es-PR"/>
        </w:rPr>
      </w:pPr>
      <w:r w:rsidRPr="0085709C">
        <w:rPr>
          <w:rFonts w:ascii="Arial Narrow" w:hAnsi="Arial Narrow" w:cs="Arial"/>
          <w:lang w:val="es-PR"/>
        </w:rPr>
        <w:t>Arrendamiento de Terreno</w:t>
      </w:r>
      <w:r>
        <w:rPr>
          <w:rFonts w:ascii="Arial Narrow" w:hAnsi="Arial Narrow" w:cs="Arial"/>
          <w:lang w:val="es-PR"/>
        </w:rPr>
        <w:tab/>
      </w:r>
      <w:r>
        <w:rPr>
          <w:rFonts w:ascii="Arial Narrow" w:hAnsi="Arial Narrow" w:cs="Arial"/>
          <w:lang w:val="es-PR"/>
        </w:rPr>
        <w:tab/>
      </w:r>
      <w:r>
        <w:rPr>
          <w:rFonts w:ascii="Arial Narrow" w:hAnsi="Arial Narrow" w:cs="Arial"/>
          <w:lang w:val="es-PR"/>
        </w:rPr>
        <w:tab/>
      </w:r>
      <w:r>
        <w:rPr>
          <w:rFonts w:ascii="Arial Narrow" w:hAnsi="Arial Narrow" w:cs="Arial"/>
          <w:lang w:val="es-PR"/>
        </w:rPr>
        <w:tab/>
      </w:r>
      <w:r w:rsidRPr="0085709C">
        <w:rPr>
          <w:rFonts w:ascii="Arial Narrow" w:hAnsi="Arial Narrow" w:cs="Arial"/>
          <w:lang w:val="es-PR"/>
        </w:rPr>
        <w:tab/>
      </w:r>
      <w:r>
        <w:rPr>
          <w:rFonts w:ascii="Arial Narrow" w:hAnsi="Arial Narrow" w:cs="Arial"/>
          <w:lang w:val="es-PR"/>
        </w:rPr>
        <w:t xml:space="preserve">     </w:t>
      </w:r>
      <w:r w:rsidRPr="0085709C">
        <w:rPr>
          <w:rFonts w:ascii="Arial Narrow" w:hAnsi="Arial Narrow" w:cs="Arial"/>
          <w:lang w:val="es-PR"/>
        </w:rPr>
        <w:t>7</w:t>
      </w:r>
      <w:proofErr w:type="gramStart"/>
      <w:r w:rsidRPr="0085709C">
        <w:rPr>
          <w:rFonts w:ascii="Arial Narrow" w:hAnsi="Arial Narrow" w:cs="Arial"/>
          <w:lang w:val="es-PR"/>
        </w:rPr>
        <w:t>,206,391</w:t>
      </w:r>
      <w:proofErr w:type="gramEnd"/>
    </w:p>
    <w:p w:rsidR="0085709C" w:rsidRPr="0085709C" w:rsidRDefault="0085709C" w:rsidP="0085709C">
      <w:pPr>
        <w:jc w:val="both"/>
        <w:rPr>
          <w:rFonts w:ascii="Arial Narrow" w:hAnsi="Arial Narrow" w:cs="Arial"/>
          <w:lang w:val="es-PR"/>
        </w:rPr>
      </w:pPr>
      <w:r w:rsidRPr="0085709C">
        <w:rPr>
          <w:rFonts w:ascii="Arial Narrow" w:hAnsi="Arial Narrow" w:cs="Arial"/>
          <w:lang w:val="es-PR"/>
        </w:rPr>
        <w:t>Venta de Terreno</w:t>
      </w:r>
      <w:r w:rsidRPr="0085709C">
        <w:rPr>
          <w:rFonts w:ascii="Arial Narrow" w:hAnsi="Arial Narrow" w:cs="Arial"/>
          <w:lang w:val="es-PR"/>
        </w:rPr>
        <w:tab/>
      </w:r>
      <w:r>
        <w:rPr>
          <w:rFonts w:ascii="Arial Narrow" w:hAnsi="Arial Narrow" w:cs="Arial"/>
          <w:lang w:val="es-PR"/>
        </w:rPr>
        <w:tab/>
      </w:r>
      <w:r>
        <w:rPr>
          <w:rFonts w:ascii="Arial Narrow" w:hAnsi="Arial Narrow" w:cs="Arial"/>
          <w:lang w:val="es-PR"/>
        </w:rPr>
        <w:tab/>
      </w:r>
      <w:r>
        <w:rPr>
          <w:rFonts w:ascii="Arial Narrow" w:hAnsi="Arial Narrow" w:cs="Arial"/>
          <w:lang w:val="es-PR"/>
        </w:rPr>
        <w:tab/>
      </w:r>
      <w:r>
        <w:rPr>
          <w:rFonts w:ascii="Arial Narrow" w:hAnsi="Arial Narrow" w:cs="Arial"/>
          <w:lang w:val="es-PR"/>
        </w:rPr>
        <w:tab/>
      </w:r>
      <w:r>
        <w:rPr>
          <w:rFonts w:ascii="Arial Narrow" w:hAnsi="Arial Narrow" w:cs="Arial"/>
          <w:lang w:val="es-PR"/>
        </w:rPr>
        <w:tab/>
        <w:t xml:space="preserve">     </w:t>
      </w:r>
      <w:r w:rsidRPr="0085709C">
        <w:rPr>
          <w:rFonts w:ascii="Arial Narrow" w:hAnsi="Arial Narrow" w:cs="Arial"/>
          <w:lang w:val="es-PR"/>
        </w:rPr>
        <w:t>6</w:t>
      </w:r>
      <w:proofErr w:type="gramStart"/>
      <w:r w:rsidRPr="0085709C">
        <w:rPr>
          <w:rFonts w:ascii="Arial Narrow" w:hAnsi="Arial Narrow" w:cs="Arial"/>
          <w:lang w:val="es-PR"/>
        </w:rPr>
        <w:t>,769,056</w:t>
      </w:r>
      <w:proofErr w:type="gramEnd"/>
    </w:p>
    <w:p w:rsidR="0085709C" w:rsidRPr="0085709C" w:rsidRDefault="0085709C" w:rsidP="0085709C">
      <w:pPr>
        <w:jc w:val="both"/>
        <w:rPr>
          <w:rFonts w:ascii="Arial Narrow" w:hAnsi="Arial Narrow" w:cs="Arial"/>
          <w:lang w:val="es-PR"/>
        </w:rPr>
      </w:pPr>
      <w:r w:rsidRPr="0085709C">
        <w:rPr>
          <w:rFonts w:ascii="Arial Narrow" w:hAnsi="Arial Narrow" w:cs="Arial"/>
          <w:lang w:val="es-PR"/>
        </w:rPr>
        <w:t>Venta de Material Excedente</w:t>
      </w:r>
      <w:r w:rsidRPr="0085709C">
        <w:rPr>
          <w:rFonts w:ascii="Arial Narrow" w:hAnsi="Arial Narrow" w:cs="Arial"/>
          <w:lang w:val="es-PR"/>
        </w:rPr>
        <w:tab/>
      </w:r>
      <w:r>
        <w:rPr>
          <w:rFonts w:ascii="Arial Narrow" w:hAnsi="Arial Narrow" w:cs="Arial"/>
          <w:lang w:val="es-PR"/>
        </w:rPr>
        <w:tab/>
      </w:r>
      <w:r>
        <w:rPr>
          <w:rFonts w:ascii="Arial Narrow" w:hAnsi="Arial Narrow" w:cs="Arial"/>
          <w:lang w:val="es-PR"/>
        </w:rPr>
        <w:tab/>
      </w:r>
      <w:r>
        <w:rPr>
          <w:rFonts w:ascii="Arial Narrow" w:hAnsi="Arial Narrow" w:cs="Arial"/>
          <w:lang w:val="es-PR"/>
        </w:rPr>
        <w:tab/>
      </w:r>
      <w:r>
        <w:rPr>
          <w:rFonts w:ascii="Arial Narrow" w:hAnsi="Arial Narrow" w:cs="Arial"/>
          <w:lang w:val="es-PR"/>
        </w:rPr>
        <w:tab/>
        <w:t xml:space="preserve">      </w:t>
      </w:r>
      <w:r w:rsidRPr="0085709C">
        <w:rPr>
          <w:rFonts w:ascii="Arial Narrow" w:hAnsi="Arial Narrow" w:cs="Arial"/>
          <w:lang w:val="es-PR"/>
        </w:rPr>
        <w:t xml:space="preserve">  500,000</w:t>
      </w:r>
    </w:p>
    <w:p w:rsidR="0085709C" w:rsidRPr="0085709C" w:rsidRDefault="0085709C" w:rsidP="0085709C">
      <w:pPr>
        <w:jc w:val="both"/>
        <w:rPr>
          <w:rFonts w:ascii="Arial Narrow" w:hAnsi="Arial Narrow" w:cs="Arial"/>
          <w:lang w:val="es-PR"/>
        </w:rPr>
      </w:pPr>
      <w:r w:rsidRPr="0085709C">
        <w:rPr>
          <w:rFonts w:ascii="Arial Narrow" w:hAnsi="Arial Narrow" w:cs="Arial"/>
          <w:lang w:val="es-PR"/>
        </w:rPr>
        <w:t>Servicios de Maquinaria</w:t>
      </w:r>
      <w:r w:rsidRPr="0085709C">
        <w:rPr>
          <w:rFonts w:ascii="Arial Narrow" w:hAnsi="Arial Narrow" w:cs="Arial"/>
          <w:lang w:val="es-PR"/>
        </w:rPr>
        <w:tab/>
        <w:t xml:space="preserve"> </w:t>
      </w:r>
      <w:r>
        <w:rPr>
          <w:rFonts w:ascii="Arial Narrow" w:hAnsi="Arial Narrow" w:cs="Arial"/>
          <w:lang w:val="es-PR"/>
        </w:rPr>
        <w:tab/>
      </w:r>
      <w:r>
        <w:rPr>
          <w:rFonts w:ascii="Arial Narrow" w:hAnsi="Arial Narrow" w:cs="Arial"/>
          <w:lang w:val="es-PR"/>
        </w:rPr>
        <w:tab/>
      </w:r>
      <w:r>
        <w:rPr>
          <w:rFonts w:ascii="Arial Narrow" w:hAnsi="Arial Narrow" w:cs="Arial"/>
          <w:lang w:val="es-PR"/>
        </w:rPr>
        <w:tab/>
      </w:r>
      <w:r>
        <w:rPr>
          <w:rFonts w:ascii="Arial Narrow" w:hAnsi="Arial Narrow" w:cs="Arial"/>
          <w:lang w:val="es-PR"/>
        </w:rPr>
        <w:tab/>
      </w:r>
      <w:r>
        <w:rPr>
          <w:rFonts w:ascii="Arial Narrow" w:hAnsi="Arial Narrow" w:cs="Arial"/>
          <w:lang w:val="es-PR"/>
        </w:rPr>
        <w:tab/>
        <w:t xml:space="preserve">       </w:t>
      </w:r>
      <w:r w:rsidRPr="0085709C">
        <w:rPr>
          <w:rFonts w:ascii="Arial Narrow" w:hAnsi="Arial Narrow" w:cs="Arial"/>
          <w:lang w:val="es-PR"/>
        </w:rPr>
        <w:t xml:space="preserve"> 413,500</w:t>
      </w:r>
    </w:p>
    <w:p w:rsidR="0085709C" w:rsidRPr="0085709C" w:rsidRDefault="0085709C" w:rsidP="0085709C">
      <w:pPr>
        <w:jc w:val="both"/>
        <w:rPr>
          <w:rFonts w:ascii="Arial Narrow" w:hAnsi="Arial Narrow" w:cs="Arial"/>
          <w:lang w:val="es-PR"/>
        </w:rPr>
      </w:pPr>
      <w:r w:rsidRPr="0085709C">
        <w:rPr>
          <w:rFonts w:ascii="Arial Narrow" w:hAnsi="Arial Narrow" w:cs="Arial"/>
          <w:lang w:val="es-PR"/>
        </w:rPr>
        <w:t>Programa Fincas Familiares</w:t>
      </w:r>
      <w:r w:rsidRPr="0085709C">
        <w:rPr>
          <w:rFonts w:ascii="Arial Narrow" w:hAnsi="Arial Narrow" w:cs="Arial"/>
          <w:lang w:val="es-PR"/>
        </w:rPr>
        <w:tab/>
      </w:r>
      <w:r>
        <w:rPr>
          <w:rFonts w:ascii="Arial Narrow" w:hAnsi="Arial Narrow" w:cs="Arial"/>
          <w:lang w:val="es-PR"/>
        </w:rPr>
        <w:tab/>
      </w:r>
      <w:r>
        <w:rPr>
          <w:rFonts w:ascii="Arial Narrow" w:hAnsi="Arial Narrow" w:cs="Arial"/>
          <w:lang w:val="es-PR"/>
        </w:rPr>
        <w:tab/>
      </w:r>
      <w:r>
        <w:rPr>
          <w:rFonts w:ascii="Arial Narrow" w:hAnsi="Arial Narrow" w:cs="Arial"/>
          <w:lang w:val="es-PR"/>
        </w:rPr>
        <w:tab/>
      </w:r>
      <w:r>
        <w:rPr>
          <w:rFonts w:ascii="Arial Narrow" w:hAnsi="Arial Narrow" w:cs="Arial"/>
          <w:lang w:val="es-PR"/>
        </w:rPr>
        <w:tab/>
        <w:t xml:space="preserve">   </w:t>
      </w:r>
      <w:r w:rsidR="002F57B2">
        <w:rPr>
          <w:rFonts w:ascii="Arial Narrow" w:hAnsi="Arial Narrow" w:cs="Arial"/>
          <w:lang w:val="es-PR"/>
        </w:rPr>
        <w:t xml:space="preserve"> </w:t>
      </w:r>
      <w:r>
        <w:rPr>
          <w:rFonts w:ascii="Arial Narrow" w:hAnsi="Arial Narrow" w:cs="Arial"/>
          <w:lang w:val="es-PR"/>
        </w:rPr>
        <w:t xml:space="preserve">  </w:t>
      </w:r>
      <w:r w:rsidRPr="0085709C">
        <w:rPr>
          <w:rFonts w:ascii="Arial Narrow" w:hAnsi="Arial Narrow" w:cs="Arial"/>
          <w:lang w:val="es-PR"/>
        </w:rPr>
        <w:t xml:space="preserve">  393,694</w:t>
      </w:r>
    </w:p>
    <w:p w:rsidR="0085709C" w:rsidRPr="0085709C" w:rsidRDefault="0085709C" w:rsidP="0085709C">
      <w:pPr>
        <w:jc w:val="both"/>
        <w:rPr>
          <w:rFonts w:ascii="Arial Narrow" w:hAnsi="Arial Narrow" w:cs="Arial"/>
          <w:lang w:val="es-PR"/>
        </w:rPr>
      </w:pPr>
      <w:r w:rsidRPr="0085709C">
        <w:rPr>
          <w:rFonts w:ascii="Arial Narrow" w:hAnsi="Arial Narrow" w:cs="Arial"/>
          <w:lang w:val="es-PR"/>
        </w:rPr>
        <w:t xml:space="preserve">Otros </w:t>
      </w:r>
      <w:r w:rsidRPr="0085709C">
        <w:rPr>
          <w:rFonts w:ascii="Arial Narrow" w:hAnsi="Arial Narrow" w:cs="Arial"/>
          <w:lang w:val="es-PR"/>
        </w:rPr>
        <w:tab/>
      </w:r>
      <w:r>
        <w:rPr>
          <w:rFonts w:ascii="Arial Narrow" w:hAnsi="Arial Narrow" w:cs="Arial"/>
          <w:lang w:val="es-PR"/>
        </w:rPr>
        <w:tab/>
      </w:r>
      <w:r>
        <w:rPr>
          <w:rFonts w:ascii="Arial Narrow" w:hAnsi="Arial Narrow" w:cs="Arial"/>
          <w:lang w:val="es-PR"/>
        </w:rPr>
        <w:tab/>
      </w:r>
      <w:r>
        <w:rPr>
          <w:rFonts w:ascii="Arial Narrow" w:hAnsi="Arial Narrow" w:cs="Arial"/>
          <w:lang w:val="es-PR"/>
        </w:rPr>
        <w:tab/>
      </w:r>
      <w:r>
        <w:rPr>
          <w:rFonts w:ascii="Arial Narrow" w:hAnsi="Arial Narrow" w:cs="Arial"/>
          <w:lang w:val="es-PR"/>
        </w:rPr>
        <w:tab/>
      </w:r>
      <w:r>
        <w:rPr>
          <w:rFonts w:ascii="Arial Narrow" w:hAnsi="Arial Narrow" w:cs="Arial"/>
          <w:lang w:val="es-PR"/>
        </w:rPr>
        <w:tab/>
      </w:r>
      <w:r>
        <w:rPr>
          <w:rFonts w:ascii="Arial Narrow" w:hAnsi="Arial Narrow" w:cs="Arial"/>
          <w:lang w:val="es-PR"/>
        </w:rPr>
        <w:tab/>
      </w:r>
      <w:r>
        <w:rPr>
          <w:rFonts w:ascii="Arial Narrow" w:hAnsi="Arial Narrow" w:cs="Arial"/>
          <w:lang w:val="es-PR"/>
        </w:rPr>
        <w:tab/>
        <w:t xml:space="preserve">     </w:t>
      </w:r>
      <w:r w:rsidR="002F57B2">
        <w:rPr>
          <w:rFonts w:ascii="Arial Narrow" w:hAnsi="Arial Narrow" w:cs="Arial"/>
          <w:lang w:val="es-PR"/>
        </w:rPr>
        <w:t xml:space="preserve"> </w:t>
      </w:r>
      <w:r w:rsidRPr="0085709C">
        <w:rPr>
          <w:rFonts w:ascii="Arial Narrow" w:hAnsi="Arial Narrow" w:cs="Arial"/>
          <w:lang w:val="es-PR"/>
        </w:rPr>
        <w:t xml:space="preserve">    79,000</w:t>
      </w:r>
    </w:p>
    <w:p w:rsidR="0085709C" w:rsidRPr="0085709C" w:rsidRDefault="0085709C" w:rsidP="0085709C">
      <w:pPr>
        <w:ind w:left="720" w:firstLine="720"/>
        <w:jc w:val="both"/>
        <w:rPr>
          <w:rFonts w:ascii="Arial Narrow" w:hAnsi="Arial Narrow" w:cs="Arial"/>
          <w:lang w:val="es-PR"/>
        </w:rPr>
      </w:pPr>
      <w:r w:rsidRPr="0085709C">
        <w:rPr>
          <w:rFonts w:ascii="Arial Narrow" w:hAnsi="Arial Narrow" w:cs="Arial"/>
          <w:b/>
          <w:i/>
          <w:lang w:val="es-PR"/>
        </w:rPr>
        <w:t>TOTAL</w:t>
      </w:r>
      <w:r w:rsidRPr="0085709C">
        <w:rPr>
          <w:rFonts w:ascii="Arial Narrow" w:hAnsi="Arial Narrow" w:cs="Arial"/>
          <w:lang w:val="es-PR"/>
        </w:rPr>
        <w:tab/>
      </w:r>
      <w:r>
        <w:rPr>
          <w:rFonts w:ascii="Arial Narrow" w:hAnsi="Arial Narrow" w:cs="Arial"/>
          <w:lang w:val="es-PR"/>
        </w:rPr>
        <w:tab/>
      </w:r>
      <w:r>
        <w:rPr>
          <w:rFonts w:ascii="Arial Narrow" w:hAnsi="Arial Narrow" w:cs="Arial"/>
          <w:lang w:val="es-PR"/>
        </w:rPr>
        <w:tab/>
      </w:r>
      <w:r>
        <w:rPr>
          <w:rFonts w:ascii="Arial Narrow" w:hAnsi="Arial Narrow" w:cs="Arial"/>
          <w:lang w:val="es-PR"/>
        </w:rPr>
        <w:tab/>
      </w:r>
      <w:r>
        <w:rPr>
          <w:rFonts w:ascii="Arial Narrow" w:hAnsi="Arial Narrow" w:cs="Arial"/>
          <w:lang w:val="es-PR"/>
        </w:rPr>
        <w:tab/>
        <w:t xml:space="preserve">     </w:t>
      </w:r>
      <w:r w:rsidRPr="0085709C">
        <w:rPr>
          <w:rFonts w:ascii="Arial Narrow" w:hAnsi="Arial Narrow" w:cs="Arial"/>
          <w:lang w:val="es-PR"/>
        </w:rPr>
        <w:t xml:space="preserve">   </w:t>
      </w:r>
      <w:r w:rsidR="002F57B2">
        <w:rPr>
          <w:rFonts w:ascii="Arial Narrow" w:hAnsi="Arial Narrow" w:cs="Arial"/>
          <w:lang w:val="es-PR"/>
        </w:rPr>
        <w:t xml:space="preserve"> </w:t>
      </w:r>
      <w:r w:rsidRPr="0085709C">
        <w:rPr>
          <w:rFonts w:ascii="Arial Narrow" w:hAnsi="Arial Narrow" w:cs="Arial"/>
          <w:lang w:val="es-PR"/>
        </w:rPr>
        <w:t xml:space="preserve">     $15</w:t>
      </w:r>
      <w:proofErr w:type="gramStart"/>
      <w:r w:rsidRPr="0085709C">
        <w:rPr>
          <w:rFonts w:ascii="Arial Narrow" w:hAnsi="Arial Narrow" w:cs="Arial"/>
          <w:lang w:val="es-PR"/>
        </w:rPr>
        <w:t>,361,641</w:t>
      </w:r>
      <w:proofErr w:type="gramEnd"/>
    </w:p>
    <w:p w:rsidR="0085709C" w:rsidRPr="00127A9B" w:rsidRDefault="0085709C" w:rsidP="0085709C">
      <w:pPr>
        <w:jc w:val="both"/>
        <w:rPr>
          <w:rFonts w:ascii="Arial" w:hAnsi="Arial" w:cs="Arial"/>
          <w:lang w:val="es-PR"/>
        </w:rPr>
      </w:pPr>
    </w:p>
    <w:p w:rsidR="0085709C" w:rsidRPr="00127A9B" w:rsidRDefault="0085709C" w:rsidP="0085709C">
      <w:pPr>
        <w:jc w:val="both"/>
        <w:rPr>
          <w:rFonts w:ascii="Arial" w:hAnsi="Arial" w:cs="Arial"/>
          <w:lang w:val="es-PR"/>
        </w:rPr>
      </w:pPr>
      <w:r w:rsidRPr="00127A9B">
        <w:rPr>
          <w:rFonts w:ascii="Arial" w:hAnsi="Arial" w:cs="Arial"/>
          <w:lang w:val="es-PR"/>
        </w:rPr>
        <w:t>El ingreso recurrente de la corporación se compone de $8</w:t>
      </w:r>
      <w:proofErr w:type="gramStart"/>
      <w:r w:rsidRPr="00127A9B">
        <w:rPr>
          <w:rFonts w:ascii="Arial" w:hAnsi="Arial" w:cs="Arial"/>
          <w:lang w:val="es-PR"/>
        </w:rPr>
        <w:t>,592,585</w:t>
      </w:r>
      <w:proofErr w:type="gramEnd"/>
      <w:r w:rsidRPr="00127A9B">
        <w:rPr>
          <w:rFonts w:ascii="Arial" w:hAnsi="Arial" w:cs="Arial"/>
          <w:lang w:val="es-PR"/>
        </w:rPr>
        <w:t xml:space="preserve"> y se estima un ingreso no recurrente por ventas de terreno donde el 50% del total estimado ya fue aprobado por la Junta de Gobierno de la ATPR y fue negociado y firmado.</w:t>
      </w:r>
    </w:p>
    <w:p w:rsidR="0085709C" w:rsidRPr="00127A9B" w:rsidRDefault="0085709C" w:rsidP="0085709C">
      <w:pPr>
        <w:jc w:val="both"/>
        <w:rPr>
          <w:rFonts w:ascii="Arial" w:hAnsi="Arial" w:cs="Arial"/>
          <w:lang w:val="es-PR"/>
        </w:rPr>
      </w:pPr>
    </w:p>
    <w:p w:rsidR="0085709C" w:rsidRPr="00127A9B" w:rsidRDefault="0085709C" w:rsidP="0085709C">
      <w:pPr>
        <w:jc w:val="both"/>
        <w:rPr>
          <w:rFonts w:ascii="Arial" w:hAnsi="Arial" w:cs="Arial"/>
          <w:lang w:val="es-PR"/>
        </w:rPr>
      </w:pPr>
      <w:r w:rsidRPr="00127A9B">
        <w:rPr>
          <w:rFonts w:ascii="Arial" w:hAnsi="Arial" w:cs="Arial"/>
          <w:lang w:val="es-PR"/>
        </w:rPr>
        <w:t>El ingreso recurrente por concepto de arrendamiento ha aumentado en comparación con el año 2012 y se ha mantenido estable.  Se ha dado el debido seguimiento a las cuentas a cobrar enviando cartas de cobro, estados de cuenta y hemos referido casos al Departamento Legal.  Se le da seguimiento a los casos de quiebra de los clientes.</w:t>
      </w:r>
    </w:p>
    <w:p w:rsidR="0085709C" w:rsidRPr="00127A9B" w:rsidRDefault="0085709C" w:rsidP="0085709C">
      <w:pPr>
        <w:jc w:val="both"/>
        <w:rPr>
          <w:rFonts w:ascii="Arial" w:hAnsi="Arial" w:cs="Arial"/>
          <w:lang w:val="es-PR"/>
        </w:rPr>
      </w:pPr>
    </w:p>
    <w:p w:rsidR="0085709C" w:rsidRPr="00127A9B" w:rsidRDefault="00324378" w:rsidP="0085709C">
      <w:pPr>
        <w:jc w:val="both"/>
        <w:rPr>
          <w:rFonts w:ascii="Arial" w:hAnsi="Arial" w:cs="Arial"/>
          <w:lang w:val="es-PR"/>
        </w:rPr>
      </w:pPr>
      <w:r>
        <w:rPr>
          <w:rFonts w:ascii="Arial" w:hAnsi="Arial" w:cs="Arial"/>
          <w:lang w:val="es-PR"/>
        </w:rPr>
        <w:t>Se incluye</w:t>
      </w:r>
      <w:r w:rsidR="0085709C" w:rsidRPr="00127A9B">
        <w:rPr>
          <w:rFonts w:ascii="Arial" w:hAnsi="Arial" w:cs="Arial"/>
          <w:lang w:val="es-PR"/>
        </w:rPr>
        <w:t xml:space="preserve"> tabla comparativa del ingreso por Arrendamiento de Terreno 2013 – 2016 versus 2012:</w:t>
      </w:r>
    </w:p>
    <w:p w:rsidR="00137CA5" w:rsidRDefault="00137CA5" w:rsidP="0085709C">
      <w:pPr>
        <w:jc w:val="both"/>
        <w:rPr>
          <w:rFonts w:ascii="Arial" w:hAnsi="Arial" w:cs="Arial"/>
          <w:lang w:val="es-PR"/>
        </w:rPr>
      </w:pPr>
    </w:p>
    <w:p w:rsidR="0085709C" w:rsidRPr="00137CA5" w:rsidRDefault="0085709C" w:rsidP="0085709C">
      <w:pPr>
        <w:jc w:val="both"/>
        <w:rPr>
          <w:rFonts w:ascii="Arial" w:hAnsi="Arial" w:cs="Arial"/>
          <w:lang w:val="es-PR"/>
        </w:rPr>
      </w:pPr>
      <w:r w:rsidRPr="00137CA5">
        <w:rPr>
          <w:rFonts w:ascii="Arial" w:hAnsi="Arial" w:cs="Arial"/>
          <w:b/>
          <w:i/>
          <w:lang w:val="es-PR"/>
        </w:rPr>
        <w:t>Año Fiscal</w:t>
      </w:r>
      <w:r w:rsidR="00137CA5">
        <w:rPr>
          <w:rFonts w:ascii="Arial" w:hAnsi="Arial" w:cs="Arial"/>
          <w:lang w:val="es-PR"/>
        </w:rPr>
        <w:t xml:space="preserve"> </w:t>
      </w:r>
      <w:r w:rsidR="00137CA5">
        <w:rPr>
          <w:rFonts w:ascii="Arial" w:hAnsi="Arial" w:cs="Arial"/>
          <w:lang w:val="es-PR"/>
        </w:rPr>
        <w:tab/>
      </w:r>
      <w:r w:rsidR="00137CA5">
        <w:rPr>
          <w:rFonts w:ascii="Arial" w:hAnsi="Arial" w:cs="Arial"/>
          <w:lang w:val="es-PR"/>
        </w:rPr>
        <w:tab/>
      </w:r>
      <w:r w:rsidR="00137CA5">
        <w:rPr>
          <w:rFonts w:ascii="Arial" w:hAnsi="Arial" w:cs="Arial"/>
          <w:lang w:val="es-PR"/>
        </w:rPr>
        <w:tab/>
        <w:t xml:space="preserve">  </w:t>
      </w:r>
      <w:r w:rsidRPr="00137CA5">
        <w:rPr>
          <w:rFonts w:ascii="Arial" w:hAnsi="Arial" w:cs="Arial"/>
          <w:b/>
          <w:i/>
          <w:lang w:val="es-PR"/>
        </w:rPr>
        <w:t>Ingreso</w:t>
      </w:r>
      <w:r w:rsidRPr="00137CA5">
        <w:rPr>
          <w:rFonts w:ascii="Arial" w:hAnsi="Arial" w:cs="Arial"/>
          <w:b/>
          <w:i/>
          <w:lang w:val="es-PR"/>
        </w:rPr>
        <w:tab/>
      </w:r>
      <w:r w:rsidRPr="00137CA5">
        <w:rPr>
          <w:rFonts w:ascii="Arial" w:hAnsi="Arial" w:cs="Arial"/>
          <w:b/>
          <w:i/>
          <w:lang w:val="es-PR"/>
        </w:rPr>
        <w:tab/>
      </w:r>
      <w:r w:rsidRPr="00137CA5">
        <w:rPr>
          <w:rFonts w:ascii="Arial" w:hAnsi="Arial" w:cs="Arial"/>
          <w:b/>
          <w:i/>
          <w:lang w:val="es-PR"/>
        </w:rPr>
        <w:tab/>
        <w:t>Disminución o Aumento</w:t>
      </w:r>
    </w:p>
    <w:p w:rsidR="0085709C" w:rsidRPr="00127A9B" w:rsidRDefault="00137CA5" w:rsidP="0085709C">
      <w:pPr>
        <w:jc w:val="both"/>
        <w:rPr>
          <w:rFonts w:ascii="Arial" w:hAnsi="Arial" w:cs="Arial"/>
          <w:lang w:val="es-PR"/>
        </w:rPr>
      </w:pPr>
      <w:r>
        <w:rPr>
          <w:rFonts w:ascii="Arial" w:hAnsi="Arial" w:cs="Arial"/>
          <w:lang w:val="es-PR"/>
        </w:rPr>
        <w:t xml:space="preserve">     </w:t>
      </w:r>
      <w:r w:rsidR="0085709C" w:rsidRPr="00127A9B">
        <w:rPr>
          <w:rFonts w:ascii="Arial" w:hAnsi="Arial" w:cs="Arial"/>
          <w:lang w:val="es-PR"/>
        </w:rPr>
        <w:t>2012</w:t>
      </w:r>
      <w:r w:rsidR="0085709C" w:rsidRPr="00127A9B">
        <w:rPr>
          <w:rFonts w:ascii="Arial" w:hAnsi="Arial" w:cs="Arial"/>
          <w:lang w:val="es-PR"/>
        </w:rPr>
        <w:tab/>
      </w:r>
      <w:r>
        <w:rPr>
          <w:rFonts w:ascii="Arial" w:hAnsi="Arial" w:cs="Arial"/>
          <w:lang w:val="es-PR"/>
        </w:rPr>
        <w:tab/>
      </w:r>
      <w:r>
        <w:rPr>
          <w:rFonts w:ascii="Arial" w:hAnsi="Arial" w:cs="Arial"/>
          <w:lang w:val="es-PR"/>
        </w:rPr>
        <w:tab/>
      </w:r>
      <w:r w:rsidR="0085709C" w:rsidRPr="00127A9B">
        <w:rPr>
          <w:rFonts w:ascii="Arial" w:hAnsi="Arial" w:cs="Arial"/>
          <w:lang w:val="es-PR"/>
        </w:rPr>
        <w:t>5</w:t>
      </w:r>
      <w:proofErr w:type="gramStart"/>
      <w:r w:rsidR="0085709C" w:rsidRPr="00127A9B">
        <w:rPr>
          <w:rFonts w:ascii="Arial" w:hAnsi="Arial" w:cs="Arial"/>
          <w:lang w:val="es-PR"/>
        </w:rPr>
        <w:t>,816,003</w:t>
      </w:r>
      <w:proofErr w:type="gramEnd"/>
      <w:r w:rsidR="0085709C" w:rsidRPr="00127A9B">
        <w:rPr>
          <w:rFonts w:ascii="Arial" w:hAnsi="Arial" w:cs="Arial"/>
          <w:lang w:val="es-PR"/>
        </w:rPr>
        <w:tab/>
      </w:r>
    </w:p>
    <w:p w:rsidR="0085709C" w:rsidRPr="00127A9B" w:rsidRDefault="00137CA5" w:rsidP="0085709C">
      <w:pPr>
        <w:jc w:val="both"/>
        <w:rPr>
          <w:rFonts w:ascii="Arial" w:hAnsi="Arial" w:cs="Arial"/>
          <w:lang w:val="es-PR"/>
        </w:rPr>
      </w:pPr>
      <w:r>
        <w:rPr>
          <w:rFonts w:ascii="Arial" w:hAnsi="Arial" w:cs="Arial"/>
          <w:lang w:val="es-PR"/>
        </w:rPr>
        <w:t xml:space="preserve">     </w:t>
      </w:r>
      <w:r w:rsidR="0085709C" w:rsidRPr="00127A9B">
        <w:rPr>
          <w:rFonts w:ascii="Arial" w:hAnsi="Arial" w:cs="Arial"/>
          <w:lang w:val="es-PR"/>
        </w:rPr>
        <w:t>2013</w:t>
      </w:r>
      <w:r w:rsidR="0085709C" w:rsidRPr="00127A9B">
        <w:rPr>
          <w:rFonts w:ascii="Arial" w:hAnsi="Arial" w:cs="Arial"/>
          <w:lang w:val="es-PR"/>
        </w:rPr>
        <w:tab/>
      </w:r>
      <w:r>
        <w:rPr>
          <w:rFonts w:ascii="Arial" w:hAnsi="Arial" w:cs="Arial"/>
          <w:lang w:val="es-PR"/>
        </w:rPr>
        <w:tab/>
      </w:r>
      <w:r>
        <w:rPr>
          <w:rFonts w:ascii="Arial" w:hAnsi="Arial" w:cs="Arial"/>
          <w:lang w:val="es-PR"/>
        </w:rPr>
        <w:tab/>
      </w:r>
      <w:r w:rsidR="0085709C" w:rsidRPr="00127A9B">
        <w:rPr>
          <w:rFonts w:ascii="Arial" w:hAnsi="Arial" w:cs="Arial"/>
          <w:lang w:val="es-PR"/>
        </w:rPr>
        <w:t>7</w:t>
      </w:r>
      <w:proofErr w:type="gramStart"/>
      <w:r w:rsidR="0085709C" w:rsidRPr="00127A9B">
        <w:rPr>
          <w:rFonts w:ascii="Arial" w:hAnsi="Arial" w:cs="Arial"/>
          <w:lang w:val="es-PR"/>
        </w:rPr>
        <w:t>,148,027</w:t>
      </w:r>
      <w:proofErr w:type="gramEnd"/>
      <w:r w:rsidR="0085709C" w:rsidRPr="00127A9B">
        <w:rPr>
          <w:rFonts w:ascii="Arial" w:hAnsi="Arial" w:cs="Arial"/>
          <w:lang w:val="es-PR"/>
        </w:rPr>
        <w:tab/>
      </w:r>
      <w:r w:rsidR="0085709C">
        <w:rPr>
          <w:rFonts w:ascii="Arial" w:hAnsi="Arial" w:cs="Arial"/>
          <w:lang w:val="es-PR"/>
        </w:rPr>
        <w:tab/>
      </w:r>
      <w:r w:rsidR="0085709C">
        <w:rPr>
          <w:rFonts w:ascii="Arial" w:hAnsi="Arial" w:cs="Arial"/>
          <w:lang w:val="es-PR"/>
        </w:rPr>
        <w:tab/>
      </w:r>
      <w:r w:rsidR="0085709C">
        <w:rPr>
          <w:rFonts w:ascii="Arial" w:hAnsi="Arial" w:cs="Arial"/>
          <w:lang w:val="es-PR"/>
        </w:rPr>
        <w:tab/>
      </w:r>
      <w:r w:rsidR="0085709C" w:rsidRPr="00127A9B">
        <w:rPr>
          <w:rFonts w:ascii="Arial" w:hAnsi="Arial" w:cs="Arial"/>
          <w:lang w:val="es-PR"/>
        </w:rPr>
        <w:t>23%</w:t>
      </w:r>
    </w:p>
    <w:p w:rsidR="0085709C" w:rsidRPr="00127A9B" w:rsidRDefault="00137CA5" w:rsidP="0085709C">
      <w:pPr>
        <w:jc w:val="both"/>
        <w:rPr>
          <w:rFonts w:ascii="Arial" w:hAnsi="Arial" w:cs="Arial"/>
          <w:lang w:val="es-PR"/>
        </w:rPr>
      </w:pPr>
      <w:r>
        <w:rPr>
          <w:rFonts w:ascii="Arial" w:hAnsi="Arial" w:cs="Arial"/>
          <w:lang w:val="es-PR"/>
        </w:rPr>
        <w:t xml:space="preserve">     </w:t>
      </w:r>
      <w:r w:rsidR="0085709C" w:rsidRPr="00127A9B">
        <w:rPr>
          <w:rFonts w:ascii="Arial" w:hAnsi="Arial" w:cs="Arial"/>
          <w:lang w:val="es-PR"/>
        </w:rPr>
        <w:t>2014</w:t>
      </w:r>
      <w:r w:rsidR="0085709C" w:rsidRPr="00127A9B">
        <w:rPr>
          <w:rFonts w:ascii="Arial" w:hAnsi="Arial" w:cs="Arial"/>
          <w:lang w:val="es-PR"/>
        </w:rPr>
        <w:tab/>
      </w:r>
      <w:r>
        <w:rPr>
          <w:rFonts w:ascii="Arial" w:hAnsi="Arial" w:cs="Arial"/>
          <w:lang w:val="es-PR"/>
        </w:rPr>
        <w:tab/>
      </w:r>
      <w:r>
        <w:rPr>
          <w:rFonts w:ascii="Arial" w:hAnsi="Arial" w:cs="Arial"/>
          <w:lang w:val="es-PR"/>
        </w:rPr>
        <w:tab/>
      </w:r>
      <w:r w:rsidR="0085709C" w:rsidRPr="00127A9B">
        <w:rPr>
          <w:rFonts w:ascii="Arial" w:hAnsi="Arial" w:cs="Arial"/>
          <w:lang w:val="es-PR"/>
        </w:rPr>
        <w:t>6</w:t>
      </w:r>
      <w:proofErr w:type="gramStart"/>
      <w:r w:rsidR="0085709C" w:rsidRPr="00127A9B">
        <w:rPr>
          <w:rFonts w:ascii="Arial" w:hAnsi="Arial" w:cs="Arial"/>
          <w:lang w:val="es-PR"/>
        </w:rPr>
        <w:t>,638,516</w:t>
      </w:r>
      <w:proofErr w:type="gramEnd"/>
      <w:r w:rsidR="0085709C" w:rsidRPr="00127A9B">
        <w:rPr>
          <w:rFonts w:ascii="Arial" w:hAnsi="Arial" w:cs="Arial"/>
          <w:lang w:val="es-PR"/>
        </w:rPr>
        <w:tab/>
      </w:r>
      <w:r w:rsidR="0085709C">
        <w:rPr>
          <w:rFonts w:ascii="Arial" w:hAnsi="Arial" w:cs="Arial"/>
          <w:lang w:val="es-PR"/>
        </w:rPr>
        <w:tab/>
      </w:r>
      <w:r w:rsidR="0085709C">
        <w:rPr>
          <w:rFonts w:ascii="Arial" w:hAnsi="Arial" w:cs="Arial"/>
          <w:lang w:val="es-PR"/>
        </w:rPr>
        <w:tab/>
      </w:r>
      <w:r w:rsidR="0085709C">
        <w:rPr>
          <w:rFonts w:ascii="Arial" w:hAnsi="Arial" w:cs="Arial"/>
          <w:lang w:val="es-PR"/>
        </w:rPr>
        <w:tab/>
      </w:r>
      <w:r w:rsidR="0085709C" w:rsidRPr="00127A9B">
        <w:rPr>
          <w:rFonts w:ascii="Arial" w:hAnsi="Arial" w:cs="Arial"/>
          <w:lang w:val="es-PR"/>
        </w:rPr>
        <w:t>15%</w:t>
      </w:r>
    </w:p>
    <w:p w:rsidR="0085709C" w:rsidRPr="00127A9B" w:rsidRDefault="00137CA5" w:rsidP="0085709C">
      <w:pPr>
        <w:jc w:val="both"/>
        <w:rPr>
          <w:rFonts w:ascii="Arial" w:hAnsi="Arial" w:cs="Arial"/>
          <w:lang w:val="es-PR"/>
        </w:rPr>
      </w:pPr>
      <w:r>
        <w:rPr>
          <w:rFonts w:ascii="Arial" w:hAnsi="Arial" w:cs="Arial"/>
          <w:lang w:val="es-PR"/>
        </w:rPr>
        <w:t xml:space="preserve">     </w:t>
      </w:r>
      <w:r w:rsidR="0085709C" w:rsidRPr="00127A9B">
        <w:rPr>
          <w:rFonts w:ascii="Arial" w:hAnsi="Arial" w:cs="Arial"/>
          <w:lang w:val="es-PR"/>
        </w:rPr>
        <w:t>2015</w:t>
      </w:r>
      <w:r w:rsidR="0085709C" w:rsidRPr="00127A9B">
        <w:rPr>
          <w:rFonts w:ascii="Arial" w:hAnsi="Arial" w:cs="Arial"/>
          <w:lang w:val="es-PR"/>
        </w:rPr>
        <w:tab/>
      </w:r>
      <w:r>
        <w:rPr>
          <w:rFonts w:ascii="Arial" w:hAnsi="Arial" w:cs="Arial"/>
          <w:lang w:val="es-PR"/>
        </w:rPr>
        <w:tab/>
      </w:r>
      <w:r>
        <w:rPr>
          <w:rFonts w:ascii="Arial" w:hAnsi="Arial" w:cs="Arial"/>
          <w:lang w:val="es-PR"/>
        </w:rPr>
        <w:tab/>
      </w:r>
      <w:r w:rsidR="0085709C" w:rsidRPr="00127A9B">
        <w:rPr>
          <w:rFonts w:ascii="Arial" w:hAnsi="Arial" w:cs="Arial"/>
          <w:lang w:val="es-PR"/>
        </w:rPr>
        <w:t>6</w:t>
      </w:r>
      <w:proofErr w:type="gramStart"/>
      <w:r w:rsidR="0085709C" w:rsidRPr="00127A9B">
        <w:rPr>
          <w:rFonts w:ascii="Arial" w:hAnsi="Arial" w:cs="Arial"/>
          <w:lang w:val="es-PR"/>
        </w:rPr>
        <w:t>,799,564</w:t>
      </w:r>
      <w:proofErr w:type="gramEnd"/>
      <w:r w:rsidR="0085709C" w:rsidRPr="00127A9B">
        <w:rPr>
          <w:rFonts w:ascii="Arial" w:hAnsi="Arial" w:cs="Arial"/>
          <w:lang w:val="es-PR"/>
        </w:rPr>
        <w:tab/>
      </w:r>
      <w:r w:rsidR="0085709C">
        <w:rPr>
          <w:rFonts w:ascii="Arial" w:hAnsi="Arial" w:cs="Arial"/>
          <w:lang w:val="es-PR"/>
        </w:rPr>
        <w:tab/>
      </w:r>
      <w:r w:rsidR="0085709C">
        <w:rPr>
          <w:rFonts w:ascii="Arial" w:hAnsi="Arial" w:cs="Arial"/>
          <w:lang w:val="es-PR"/>
        </w:rPr>
        <w:tab/>
      </w:r>
      <w:r w:rsidR="0085709C">
        <w:rPr>
          <w:rFonts w:ascii="Arial" w:hAnsi="Arial" w:cs="Arial"/>
          <w:lang w:val="es-PR"/>
        </w:rPr>
        <w:tab/>
      </w:r>
      <w:r w:rsidR="0085709C" w:rsidRPr="00127A9B">
        <w:rPr>
          <w:rFonts w:ascii="Arial" w:hAnsi="Arial" w:cs="Arial"/>
          <w:lang w:val="es-PR"/>
        </w:rPr>
        <w:t>17%</w:t>
      </w:r>
    </w:p>
    <w:p w:rsidR="0085709C" w:rsidRPr="00127A9B" w:rsidRDefault="00137CA5" w:rsidP="0085709C">
      <w:pPr>
        <w:jc w:val="both"/>
        <w:rPr>
          <w:rFonts w:ascii="Arial" w:hAnsi="Arial" w:cs="Arial"/>
          <w:lang w:val="es-PR"/>
        </w:rPr>
      </w:pPr>
      <w:r>
        <w:rPr>
          <w:rFonts w:ascii="Arial" w:hAnsi="Arial" w:cs="Arial"/>
          <w:lang w:val="es-PR"/>
        </w:rPr>
        <w:t xml:space="preserve">     </w:t>
      </w:r>
      <w:r w:rsidR="0085709C" w:rsidRPr="00127A9B">
        <w:rPr>
          <w:rFonts w:ascii="Arial" w:hAnsi="Arial" w:cs="Arial"/>
          <w:lang w:val="es-PR"/>
        </w:rPr>
        <w:t>2016</w:t>
      </w:r>
      <w:r w:rsidR="0085709C" w:rsidRPr="00127A9B">
        <w:rPr>
          <w:rFonts w:ascii="Arial" w:hAnsi="Arial" w:cs="Arial"/>
          <w:lang w:val="es-PR"/>
        </w:rPr>
        <w:tab/>
      </w:r>
      <w:r>
        <w:rPr>
          <w:rFonts w:ascii="Arial" w:hAnsi="Arial" w:cs="Arial"/>
          <w:lang w:val="es-PR"/>
        </w:rPr>
        <w:tab/>
      </w:r>
      <w:r>
        <w:rPr>
          <w:rFonts w:ascii="Arial" w:hAnsi="Arial" w:cs="Arial"/>
          <w:lang w:val="es-PR"/>
        </w:rPr>
        <w:tab/>
      </w:r>
      <w:r w:rsidR="0085709C" w:rsidRPr="00127A9B">
        <w:rPr>
          <w:rFonts w:ascii="Arial" w:hAnsi="Arial" w:cs="Arial"/>
          <w:lang w:val="es-PR"/>
        </w:rPr>
        <w:t>6</w:t>
      </w:r>
      <w:proofErr w:type="gramStart"/>
      <w:r w:rsidR="0085709C" w:rsidRPr="00127A9B">
        <w:rPr>
          <w:rFonts w:ascii="Arial" w:hAnsi="Arial" w:cs="Arial"/>
          <w:lang w:val="es-PR"/>
        </w:rPr>
        <w:t>,959,442</w:t>
      </w:r>
      <w:proofErr w:type="gramEnd"/>
      <w:r w:rsidR="0085709C" w:rsidRPr="00127A9B">
        <w:rPr>
          <w:rFonts w:ascii="Arial" w:hAnsi="Arial" w:cs="Arial"/>
          <w:lang w:val="es-PR"/>
        </w:rPr>
        <w:tab/>
      </w:r>
      <w:r w:rsidR="0085709C">
        <w:rPr>
          <w:rFonts w:ascii="Arial" w:hAnsi="Arial" w:cs="Arial"/>
          <w:lang w:val="es-PR"/>
        </w:rPr>
        <w:tab/>
      </w:r>
      <w:r w:rsidR="0085709C">
        <w:rPr>
          <w:rFonts w:ascii="Arial" w:hAnsi="Arial" w:cs="Arial"/>
          <w:lang w:val="es-PR"/>
        </w:rPr>
        <w:tab/>
      </w:r>
      <w:r w:rsidR="0085709C">
        <w:rPr>
          <w:rFonts w:ascii="Arial" w:hAnsi="Arial" w:cs="Arial"/>
          <w:lang w:val="es-PR"/>
        </w:rPr>
        <w:tab/>
      </w:r>
      <w:r w:rsidR="0085709C" w:rsidRPr="00127A9B">
        <w:rPr>
          <w:rFonts w:ascii="Arial" w:hAnsi="Arial" w:cs="Arial"/>
          <w:lang w:val="es-PR"/>
        </w:rPr>
        <w:t>20%</w:t>
      </w:r>
    </w:p>
    <w:p w:rsidR="0085709C" w:rsidRPr="00127A9B" w:rsidRDefault="0085709C" w:rsidP="0085709C">
      <w:pPr>
        <w:jc w:val="both"/>
        <w:rPr>
          <w:rFonts w:ascii="Arial" w:hAnsi="Arial" w:cs="Arial"/>
          <w:lang w:val="es-PR"/>
        </w:rPr>
      </w:pPr>
    </w:p>
    <w:p w:rsidR="0085709C" w:rsidRPr="00127A9B" w:rsidRDefault="0085709C" w:rsidP="0085709C">
      <w:pPr>
        <w:jc w:val="both"/>
        <w:rPr>
          <w:rFonts w:ascii="Arial" w:hAnsi="Arial" w:cs="Arial"/>
          <w:lang w:val="es-PR"/>
        </w:rPr>
      </w:pPr>
      <w:r w:rsidRPr="00127A9B">
        <w:rPr>
          <w:rFonts w:ascii="Arial" w:hAnsi="Arial" w:cs="Arial"/>
          <w:lang w:val="es-PR"/>
        </w:rPr>
        <w:t>El presupuesto de gastos presentado a OGP para el año fiscal 2016-2017 se distribuye entre los siguientes renglones:</w:t>
      </w:r>
    </w:p>
    <w:p w:rsidR="0085709C" w:rsidRPr="00127A9B" w:rsidRDefault="0085709C" w:rsidP="0085709C">
      <w:pPr>
        <w:jc w:val="both"/>
        <w:rPr>
          <w:rFonts w:ascii="Arial" w:hAnsi="Arial" w:cs="Arial"/>
          <w:lang w:val="es-PR"/>
        </w:rPr>
      </w:pPr>
    </w:p>
    <w:p w:rsidR="0085709C" w:rsidRPr="0085709C" w:rsidRDefault="0085709C" w:rsidP="0085709C">
      <w:pPr>
        <w:ind w:firstLine="720"/>
        <w:jc w:val="both"/>
        <w:rPr>
          <w:rFonts w:ascii="Arial" w:hAnsi="Arial" w:cs="Arial"/>
          <w:b/>
          <w:i/>
          <w:lang w:val="es-PR"/>
        </w:rPr>
      </w:pPr>
      <w:r w:rsidRPr="0085709C">
        <w:rPr>
          <w:rFonts w:ascii="Arial" w:hAnsi="Arial" w:cs="Arial"/>
          <w:b/>
          <w:i/>
          <w:lang w:val="es-PR"/>
        </w:rPr>
        <w:t>CONCEPTO DEL GASTO</w:t>
      </w:r>
      <w:r w:rsidRPr="0085709C">
        <w:rPr>
          <w:rFonts w:ascii="Arial" w:hAnsi="Arial" w:cs="Arial"/>
          <w:b/>
          <w:i/>
          <w:lang w:val="es-PR"/>
        </w:rPr>
        <w:tab/>
      </w:r>
      <w:r>
        <w:rPr>
          <w:rFonts w:ascii="Arial" w:hAnsi="Arial" w:cs="Arial"/>
          <w:b/>
          <w:i/>
          <w:lang w:val="es-PR"/>
        </w:rPr>
        <w:tab/>
      </w:r>
      <w:r>
        <w:rPr>
          <w:rFonts w:ascii="Arial" w:hAnsi="Arial" w:cs="Arial"/>
          <w:b/>
          <w:i/>
          <w:lang w:val="es-PR"/>
        </w:rPr>
        <w:tab/>
      </w:r>
      <w:r w:rsidRPr="0085709C">
        <w:rPr>
          <w:rFonts w:ascii="Arial" w:hAnsi="Arial" w:cs="Arial"/>
          <w:b/>
          <w:i/>
          <w:lang w:val="es-PR"/>
        </w:rPr>
        <w:t>CANTIDAD</w:t>
      </w:r>
    </w:p>
    <w:p w:rsidR="0085709C" w:rsidRPr="00127A9B" w:rsidRDefault="0085709C" w:rsidP="0085709C">
      <w:pPr>
        <w:ind w:firstLine="720"/>
        <w:jc w:val="both"/>
        <w:rPr>
          <w:rFonts w:ascii="Arial" w:hAnsi="Arial" w:cs="Arial"/>
          <w:lang w:val="es-PR"/>
        </w:rPr>
      </w:pPr>
      <w:r w:rsidRPr="00127A9B">
        <w:rPr>
          <w:rFonts w:ascii="Arial" w:hAnsi="Arial" w:cs="Arial"/>
          <w:lang w:val="es-PR"/>
        </w:rPr>
        <w:t>Nómina y Aportaciones</w:t>
      </w:r>
      <w:r w:rsidRPr="00127A9B">
        <w:rPr>
          <w:rFonts w:ascii="Arial" w:hAnsi="Arial" w:cs="Arial"/>
          <w:lang w:val="es-PR"/>
        </w:rPr>
        <w:tab/>
      </w:r>
      <w:r>
        <w:rPr>
          <w:rFonts w:ascii="Arial" w:hAnsi="Arial" w:cs="Arial"/>
          <w:lang w:val="es-PR"/>
        </w:rPr>
        <w:tab/>
      </w:r>
      <w:r>
        <w:rPr>
          <w:rFonts w:ascii="Arial" w:hAnsi="Arial" w:cs="Arial"/>
          <w:lang w:val="es-PR"/>
        </w:rPr>
        <w:tab/>
      </w:r>
      <w:r w:rsidRPr="00127A9B">
        <w:rPr>
          <w:rFonts w:ascii="Arial" w:hAnsi="Arial" w:cs="Arial"/>
          <w:lang w:val="es-PR"/>
        </w:rPr>
        <w:t>6</w:t>
      </w:r>
      <w:proofErr w:type="gramStart"/>
      <w:r w:rsidRPr="00127A9B">
        <w:rPr>
          <w:rFonts w:ascii="Arial" w:hAnsi="Arial" w:cs="Arial"/>
          <w:lang w:val="es-PR"/>
        </w:rPr>
        <w:t>,783,116</w:t>
      </w:r>
      <w:proofErr w:type="gramEnd"/>
    </w:p>
    <w:p w:rsidR="0085709C" w:rsidRPr="00127A9B" w:rsidRDefault="0085709C" w:rsidP="0085709C">
      <w:pPr>
        <w:ind w:firstLine="720"/>
        <w:jc w:val="both"/>
        <w:rPr>
          <w:rFonts w:ascii="Arial" w:hAnsi="Arial" w:cs="Arial"/>
          <w:lang w:val="es-PR"/>
        </w:rPr>
      </w:pPr>
      <w:r w:rsidRPr="00127A9B">
        <w:rPr>
          <w:rFonts w:ascii="Arial" w:hAnsi="Arial" w:cs="Arial"/>
          <w:lang w:val="es-PR"/>
        </w:rPr>
        <w:t>Utilidades</w:t>
      </w:r>
      <w:r w:rsidRPr="00127A9B">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sidRPr="00127A9B">
        <w:rPr>
          <w:rFonts w:ascii="Arial" w:hAnsi="Arial" w:cs="Arial"/>
          <w:lang w:val="es-PR"/>
        </w:rPr>
        <w:t xml:space="preserve">   646,500</w:t>
      </w:r>
    </w:p>
    <w:p w:rsidR="0085709C" w:rsidRPr="00127A9B" w:rsidRDefault="0085709C" w:rsidP="0085709C">
      <w:pPr>
        <w:ind w:firstLine="720"/>
        <w:jc w:val="both"/>
        <w:rPr>
          <w:rFonts w:ascii="Arial" w:hAnsi="Arial" w:cs="Arial"/>
          <w:lang w:val="es-PR"/>
        </w:rPr>
      </w:pPr>
      <w:r w:rsidRPr="00127A9B">
        <w:rPr>
          <w:rFonts w:ascii="Arial" w:hAnsi="Arial" w:cs="Arial"/>
          <w:lang w:val="es-PR"/>
        </w:rPr>
        <w:t>Servicios Comprados</w:t>
      </w:r>
      <w:r w:rsidRPr="00127A9B">
        <w:rPr>
          <w:rFonts w:ascii="Arial" w:hAnsi="Arial" w:cs="Arial"/>
          <w:lang w:val="es-PR"/>
        </w:rPr>
        <w:tab/>
      </w:r>
      <w:r>
        <w:rPr>
          <w:rFonts w:ascii="Arial" w:hAnsi="Arial" w:cs="Arial"/>
          <w:lang w:val="es-PR"/>
        </w:rPr>
        <w:tab/>
      </w:r>
      <w:r>
        <w:rPr>
          <w:rFonts w:ascii="Arial" w:hAnsi="Arial" w:cs="Arial"/>
          <w:lang w:val="es-PR"/>
        </w:rPr>
        <w:tab/>
      </w:r>
      <w:r w:rsidRPr="00127A9B">
        <w:rPr>
          <w:rFonts w:ascii="Arial" w:hAnsi="Arial" w:cs="Arial"/>
          <w:lang w:val="es-PR"/>
        </w:rPr>
        <w:t xml:space="preserve">   249,052</w:t>
      </w:r>
    </w:p>
    <w:p w:rsidR="0085709C" w:rsidRPr="00127A9B" w:rsidRDefault="0085709C" w:rsidP="0085709C">
      <w:pPr>
        <w:ind w:firstLine="720"/>
        <w:jc w:val="both"/>
        <w:rPr>
          <w:rFonts w:ascii="Arial" w:hAnsi="Arial" w:cs="Arial"/>
          <w:lang w:val="es-PR"/>
        </w:rPr>
      </w:pPr>
      <w:r w:rsidRPr="00127A9B">
        <w:rPr>
          <w:rFonts w:ascii="Arial" w:hAnsi="Arial" w:cs="Arial"/>
          <w:lang w:val="es-PR"/>
        </w:rPr>
        <w:t xml:space="preserve">Dieta y </w:t>
      </w:r>
      <w:proofErr w:type="spellStart"/>
      <w:r w:rsidRPr="00127A9B">
        <w:rPr>
          <w:rFonts w:ascii="Arial" w:hAnsi="Arial" w:cs="Arial"/>
          <w:lang w:val="es-PR"/>
        </w:rPr>
        <w:t>Millaje</w:t>
      </w:r>
      <w:proofErr w:type="spellEnd"/>
      <w:r w:rsidRPr="00127A9B">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sidRPr="00127A9B">
        <w:rPr>
          <w:rFonts w:ascii="Arial" w:hAnsi="Arial" w:cs="Arial"/>
          <w:lang w:val="es-PR"/>
        </w:rPr>
        <w:t xml:space="preserve">   205,194</w:t>
      </w:r>
    </w:p>
    <w:p w:rsidR="0085709C" w:rsidRPr="00127A9B" w:rsidRDefault="0085709C" w:rsidP="0085709C">
      <w:pPr>
        <w:ind w:firstLine="720"/>
        <w:jc w:val="both"/>
        <w:rPr>
          <w:rFonts w:ascii="Arial" w:hAnsi="Arial" w:cs="Arial"/>
          <w:lang w:val="es-PR"/>
        </w:rPr>
      </w:pPr>
      <w:r w:rsidRPr="00127A9B">
        <w:rPr>
          <w:rFonts w:ascii="Arial" w:hAnsi="Arial" w:cs="Arial"/>
          <w:lang w:val="es-PR"/>
        </w:rPr>
        <w:t>Servicios Profesionales</w:t>
      </w:r>
      <w:r w:rsidRPr="00127A9B">
        <w:rPr>
          <w:rFonts w:ascii="Arial" w:hAnsi="Arial" w:cs="Arial"/>
          <w:lang w:val="es-PR"/>
        </w:rPr>
        <w:tab/>
      </w:r>
      <w:r>
        <w:rPr>
          <w:rFonts w:ascii="Arial" w:hAnsi="Arial" w:cs="Arial"/>
          <w:lang w:val="es-PR"/>
        </w:rPr>
        <w:tab/>
      </w:r>
      <w:r>
        <w:rPr>
          <w:rFonts w:ascii="Arial" w:hAnsi="Arial" w:cs="Arial"/>
          <w:lang w:val="es-PR"/>
        </w:rPr>
        <w:tab/>
      </w:r>
      <w:r w:rsidRPr="00127A9B">
        <w:rPr>
          <w:rFonts w:ascii="Arial" w:hAnsi="Arial" w:cs="Arial"/>
          <w:lang w:val="es-PR"/>
        </w:rPr>
        <w:t xml:space="preserve">   248,492</w:t>
      </w:r>
    </w:p>
    <w:p w:rsidR="0085709C" w:rsidRPr="00127A9B" w:rsidRDefault="0085709C" w:rsidP="0085709C">
      <w:pPr>
        <w:ind w:firstLine="720"/>
        <w:jc w:val="both"/>
        <w:rPr>
          <w:rFonts w:ascii="Arial" w:hAnsi="Arial" w:cs="Arial"/>
          <w:lang w:val="es-PR"/>
        </w:rPr>
      </w:pPr>
      <w:r w:rsidRPr="00127A9B">
        <w:rPr>
          <w:rFonts w:ascii="Arial" w:hAnsi="Arial" w:cs="Arial"/>
          <w:lang w:val="es-PR"/>
        </w:rPr>
        <w:t>Materiales y Suministros</w:t>
      </w:r>
      <w:r w:rsidRPr="00127A9B">
        <w:rPr>
          <w:rFonts w:ascii="Arial" w:hAnsi="Arial" w:cs="Arial"/>
          <w:lang w:val="es-PR"/>
        </w:rPr>
        <w:tab/>
      </w:r>
      <w:r>
        <w:rPr>
          <w:rFonts w:ascii="Arial" w:hAnsi="Arial" w:cs="Arial"/>
          <w:lang w:val="es-PR"/>
        </w:rPr>
        <w:tab/>
      </w:r>
      <w:r>
        <w:rPr>
          <w:rFonts w:ascii="Arial" w:hAnsi="Arial" w:cs="Arial"/>
          <w:lang w:val="es-PR"/>
        </w:rPr>
        <w:tab/>
      </w:r>
      <w:r w:rsidRPr="00127A9B">
        <w:rPr>
          <w:rFonts w:ascii="Arial" w:hAnsi="Arial" w:cs="Arial"/>
          <w:lang w:val="es-PR"/>
        </w:rPr>
        <w:t xml:space="preserve">   270,175</w:t>
      </w:r>
    </w:p>
    <w:p w:rsidR="0085709C" w:rsidRPr="00127A9B" w:rsidRDefault="0085709C" w:rsidP="0085709C">
      <w:pPr>
        <w:ind w:firstLine="720"/>
        <w:jc w:val="both"/>
        <w:rPr>
          <w:rFonts w:ascii="Arial" w:hAnsi="Arial" w:cs="Arial"/>
          <w:lang w:val="es-PR"/>
        </w:rPr>
      </w:pPr>
      <w:r w:rsidRPr="00127A9B">
        <w:rPr>
          <w:rFonts w:ascii="Arial" w:hAnsi="Arial" w:cs="Arial"/>
          <w:lang w:val="es-PR"/>
        </w:rPr>
        <w:t>Otros</w:t>
      </w:r>
      <w:r w:rsidRPr="00127A9B">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Pr>
          <w:rFonts w:ascii="Arial" w:hAnsi="Arial" w:cs="Arial"/>
          <w:lang w:val="es-PR"/>
        </w:rPr>
        <w:tab/>
      </w:r>
      <w:r w:rsidRPr="00127A9B">
        <w:rPr>
          <w:rFonts w:ascii="Arial" w:hAnsi="Arial" w:cs="Arial"/>
          <w:lang w:val="es-PR"/>
        </w:rPr>
        <w:t>1</w:t>
      </w:r>
      <w:proofErr w:type="gramStart"/>
      <w:r w:rsidRPr="00127A9B">
        <w:rPr>
          <w:rFonts w:ascii="Arial" w:hAnsi="Arial" w:cs="Arial"/>
          <w:lang w:val="es-PR"/>
        </w:rPr>
        <w:t>,034,898</w:t>
      </w:r>
      <w:proofErr w:type="gramEnd"/>
    </w:p>
    <w:p w:rsidR="0085709C" w:rsidRPr="00127A9B" w:rsidRDefault="0085709C" w:rsidP="0085709C">
      <w:pPr>
        <w:ind w:left="720" w:firstLine="720"/>
        <w:jc w:val="both"/>
        <w:rPr>
          <w:rFonts w:ascii="Arial" w:hAnsi="Arial" w:cs="Arial"/>
          <w:lang w:val="es-PR"/>
        </w:rPr>
      </w:pPr>
      <w:r w:rsidRPr="0085709C">
        <w:rPr>
          <w:rFonts w:ascii="Arial" w:hAnsi="Arial" w:cs="Arial"/>
          <w:b/>
          <w:i/>
          <w:lang w:val="es-PR"/>
        </w:rPr>
        <w:t>TOTAL</w:t>
      </w:r>
      <w:r>
        <w:rPr>
          <w:rFonts w:ascii="Arial" w:hAnsi="Arial" w:cs="Arial"/>
          <w:lang w:val="es-PR"/>
        </w:rPr>
        <w:tab/>
      </w:r>
      <w:r>
        <w:rPr>
          <w:rFonts w:ascii="Arial" w:hAnsi="Arial" w:cs="Arial"/>
          <w:lang w:val="es-PR"/>
        </w:rPr>
        <w:tab/>
      </w:r>
      <w:r>
        <w:rPr>
          <w:rFonts w:ascii="Arial" w:hAnsi="Arial" w:cs="Arial"/>
          <w:lang w:val="es-PR"/>
        </w:rPr>
        <w:tab/>
        <w:t xml:space="preserve">         </w:t>
      </w:r>
      <w:r w:rsidRPr="00324378">
        <w:rPr>
          <w:rFonts w:ascii="Arial" w:hAnsi="Arial" w:cs="Arial"/>
          <w:b/>
          <w:lang w:val="es-PR"/>
        </w:rPr>
        <w:t>$9</w:t>
      </w:r>
      <w:proofErr w:type="gramStart"/>
      <w:r w:rsidRPr="00324378">
        <w:rPr>
          <w:rFonts w:ascii="Arial" w:hAnsi="Arial" w:cs="Arial"/>
          <w:b/>
          <w:lang w:val="es-PR"/>
        </w:rPr>
        <w:t>,437,427</w:t>
      </w:r>
      <w:proofErr w:type="gramEnd"/>
    </w:p>
    <w:p w:rsidR="0085709C" w:rsidRDefault="0085709C" w:rsidP="0085709C">
      <w:pPr>
        <w:jc w:val="both"/>
        <w:rPr>
          <w:rFonts w:ascii="Arial" w:hAnsi="Arial" w:cs="Arial"/>
          <w:lang w:val="es-PR"/>
        </w:rPr>
      </w:pPr>
    </w:p>
    <w:p w:rsidR="00242E20" w:rsidRDefault="00242E20" w:rsidP="0085709C">
      <w:pPr>
        <w:jc w:val="both"/>
        <w:rPr>
          <w:rFonts w:ascii="Arial" w:hAnsi="Arial" w:cs="Arial"/>
          <w:lang w:val="es-PR"/>
        </w:rPr>
      </w:pPr>
    </w:p>
    <w:p w:rsidR="00242E20" w:rsidRDefault="00242E20" w:rsidP="0085709C">
      <w:pPr>
        <w:jc w:val="both"/>
        <w:rPr>
          <w:rFonts w:ascii="Arial" w:hAnsi="Arial" w:cs="Arial"/>
          <w:lang w:val="es-PR"/>
        </w:rPr>
      </w:pPr>
    </w:p>
    <w:p w:rsidR="00242E20" w:rsidRPr="00127A9B" w:rsidRDefault="00242E20" w:rsidP="0085709C">
      <w:pPr>
        <w:jc w:val="both"/>
        <w:rPr>
          <w:rFonts w:ascii="Arial" w:hAnsi="Arial" w:cs="Arial"/>
          <w:lang w:val="es-PR"/>
        </w:rPr>
      </w:pPr>
    </w:p>
    <w:p w:rsidR="0085709C" w:rsidRPr="00127A9B" w:rsidRDefault="0085709C" w:rsidP="0085709C">
      <w:pPr>
        <w:jc w:val="both"/>
        <w:rPr>
          <w:rFonts w:ascii="Arial" w:hAnsi="Arial" w:cs="Arial"/>
          <w:lang w:val="es-PR"/>
        </w:rPr>
      </w:pPr>
      <w:r w:rsidRPr="00127A9B">
        <w:rPr>
          <w:rFonts w:ascii="Arial" w:hAnsi="Arial" w:cs="Arial"/>
          <w:lang w:val="es-PR"/>
        </w:rPr>
        <w:t>Al 31 de agosto de 2016 se ha gastado el 14% del presupuesto de gasto.  En comparación con el presupuesto 2011-2012, el cual presento un presupuesto de gasto de $12</w:t>
      </w:r>
      <w:proofErr w:type="gramStart"/>
      <w:r w:rsidRPr="00127A9B">
        <w:rPr>
          <w:rFonts w:ascii="Arial" w:hAnsi="Arial" w:cs="Arial"/>
          <w:lang w:val="es-PR"/>
        </w:rPr>
        <w:t>,792,874</w:t>
      </w:r>
      <w:proofErr w:type="gramEnd"/>
      <w:r w:rsidRPr="00127A9B">
        <w:rPr>
          <w:rFonts w:ascii="Arial" w:hAnsi="Arial" w:cs="Arial"/>
          <w:lang w:val="es-PR"/>
        </w:rPr>
        <w:t>, se logró una disminución de 27%.</w:t>
      </w:r>
    </w:p>
    <w:p w:rsidR="0085709C" w:rsidRPr="00127A9B" w:rsidRDefault="0085709C" w:rsidP="0085709C">
      <w:pPr>
        <w:jc w:val="both"/>
        <w:rPr>
          <w:rFonts w:ascii="Arial" w:hAnsi="Arial" w:cs="Arial"/>
          <w:lang w:val="es-PR"/>
        </w:rPr>
      </w:pPr>
    </w:p>
    <w:p w:rsidR="0085709C" w:rsidRPr="00127A9B" w:rsidRDefault="0085709C" w:rsidP="0085709C">
      <w:pPr>
        <w:jc w:val="both"/>
        <w:rPr>
          <w:rFonts w:ascii="Arial" w:hAnsi="Arial" w:cs="Arial"/>
          <w:lang w:val="es-PR"/>
        </w:rPr>
      </w:pPr>
      <w:r w:rsidRPr="00127A9B">
        <w:rPr>
          <w:rFonts w:ascii="Arial" w:hAnsi="Arial" w:cs="Arial"/>
          <w:lang w:val="es-PR"/>
        </w:rPr>
        <w:t>El gasto mayor que presenta la Autoridad para el 2016-2017 es el de nómina por $6</w:t>
      </w:r>
      <w:proofErr w:type="gramStart"/>
      <w:r w:rsidRPr="00127A9B">
        <w:rPr>
          <w:rFonts w:ascii="Arial" w:hAnsi="Arial" w:cs="Arial"/>
          <w:lang w:val="es-PR"/>
        </w:rPr>
        <w:t>,783,116</w:t>
      </w:r>
      <w:proofErr w:type="gramEnd"/>
      <w:r w:rsidRPr="00127A9B">
        <w:rPr>
          <w:rFonts w:ascii="Arial" w:hAnsi="Arial" w:cs="Arial"/>
          <w:lang w:val="es-PR"/>
        </w:rPr>
        <w:t xml:space="preserve"> el cual en comparación con el 2012 se ha reducido en un 26%.  Esta disminución fue lograda ya que se nombraron empleados regulares de la Autoridad en posiciones de confianza, Ley 3, donde se eliminaron 12 plazas regulares, Ley 66 en reducción en pago de bono de navidad a gerenciales y no pago de días feriados y la Ley 211 del pre-retiro al cual se acogieron 18 empleados y se estima un ahorro total en los próximos nueve (9) años de $3</w:t>
      </w:r>
      <w:proofErr w:type="gramStart"/>
      <w:r w:rsidRPr="00127A9B">
        <w:rPr>
          <w:rFonts w:ascii="Arial" w:hAnsi="Arial" w:cs="Arial"/>
          <w:lang w:val="es-PR"/>
        </w:rPr>
        <w:t>,403,488</w:t>
      </w:r>
      <w:proofErr w:type="gramEnd"/>
      <w:r w:rsidRPr="00127A9B">
        <w:rPr>
          <w:rFonts w:ascii="Arial" w:hAnsi="Arial" w:cs="Arial"/>
          <w:lang w:val="es-PR"/>
        </w:rPr>
        <w:t xml:space="preserve">.  </w:t>
      </w:r>
    </w:p>
    <w:p w:rsidR="0085709C" w:rsidRPr="00127A9B" w:rsidRDefault="0085709C" w:rsidP="0085709C">
      <w:pPr>
        <w:jc w:val="both"/>
        <w:rPr>
          <w:rFonts w:ascii="Arial" w:hAnsi="Arial" w:cs="Arial"/>
          <w:lang w:val="es-PR"/>
        </w:rPr>
      </w:pPr>
    </w:p>
    <w:p w:rsidR="0085709C" w:rsidRPr="00127A9B" w:rsidRDefault="0085709C" w:rsidP="0085709C">
      <w:pPr>
        <w:jc w:val="both"/>
        <w:rPr>
          <w:rFonts w:ascii="Arial" w:hAnsi="Arial" w:cs="Arial"/>
          <w:lang w:val="es-PR"/>
        </w:rPr>
      </w:pPr>
      <w:r>
        <w:rPr>
          <w:rFonts w:ascii="Arial" w:hAnsi="Arial" w:cs="Arial"/>
          <w:lang w:val="es-PR"/>
        </w:rPr>
        <w:t>Le incluyo</w:t>
      </w:r>
      <w:r w:rsidRPr="00127A9B">
        <w:rPr>
          <w:rFonts w:ascii="Arial" w:hAnsi="Arial" w:cs="Arial"/>
          <w:lang w:val="es-PR"/>
        </w:rPr>
        <w:t xml:space="preserve"> tabla comparativa del gasto real de nómina:</w:t>
      </w:r>
    </w:p>
    <w:p w:rsidR="0085709C" w:rsidRPr="00127A9B" w:rsidRDefault="0085709C" w:rsidP="0085709C">
      <w:pPr>
        <w:jc w:val="both"/>
        <w:rPr>
          <w:rFonts w:ascii="Arial" w:hAnsi="Arial" w:cs="Arial"/>
          <w:lang w:val="es-PR"/>
        </w:rPr>
      </w:pPr>
    </w:p>
    <w:p w:rsidR="0085709C" w:rsidRPr="00137CA5" w:rsidRDefault="0085709C" w:rsidP="0085709C">
      <w:pPr>
        <w:jc w:val="both"/>
        <w:rPr>
          <w:rFonts w:ascii="Arial" w:hAnsi="Arial" w:cs="Arial"/>
          <w:b/>
          <w:i/>
          <w:lang w:val="es-PR"/>
        </w:rPr>
      </w:pPr>
      <w:r w:rsidRPr="00137CA5">
        <w:rPr>
          <w:rFonts w:ascii="Arial" w:hAnsi="Arial" w:cs="Arial"/>
          <w:b/>
          <w:i/>
          <w:lang w:val="es-PR"/>
        </w:rPr>
        <w:t>Año Fiscal</w:t>
      </w:r>
      <w:r w:rsidRPr="00137CA5">
        <w:rPr>
          <w:rFonts w:ascii="Arial" w:hAnsi="Arial" w:cs="Arial"/>
          <w:b/>
          <w:i/>
          <w:lang w:val="es-PR"/>
        </w:rPr>
        <w:tab/>
      </w:r>
      <w:r w:rsidRPr="00137CA5">
        <w:rPr>
          <w:rFonts w:ascii="Arial" w:hAnsi="Arial" w:cs="Arial"/>
          <w:b/>
          <w:i/>
          <w:lang w:val="es-PR"/>
        </w:rPr>
        <w:tab/>
        <w:t>Gasto Nómina</w:t>
      </w:r>
      <w:r w:rsidRPr="00137CA5">
        <w:rPr>
          <w:rFonts w:ascii="Arial" w:hAnsi="Arial" w:cs="Arial"/>
          <w:b/>
          <w:i/>
          <w:lang w:val="es-PR"/>
        </w:rPr>
        <w:tab/>
        <w:t>Aumento o Disminución</w:t>
      </w:r>
      <w:r w:rsidRPr="00137CA5">
        <w:rPr>
          <w:rFonts w:ascii="Arial" w:hAnsi="Arial" w:cs="Arial"/>
          <w:b/>
          <w:i/>
          <w:lang w:val="es-PR"/>
        </w:rPr>
        <w:tab/>
      </w:r>
      <w:r w:rsidR="00137CA5">
        <w:rPr>
          <w:rFonts w:ascii="Arial" w:hAnsi="Arial" w:cs="Arial"/>
          <w:b/>
          <w:i/>
          <w:lang w:val="es-PR"/>
        </w:rPr>
        <w:tab/>
      </w:r>
      <w:r w:rsidR="00324378">
        <w:rPr>
          <w:rFonts w:ascii="Arial" w:hAnsi="Arial" w:cs="Arial"/>
          <w:b/>
          <w:i/>
          <w:lang w:val="es-PR"/>
        </w:rPr>
        <w:t xml:space="preserve">   </w:t>
      </w:r>
      <w:r w:rsidRPr="00137CA5">
        <w:rPr>
          <w:rFonts w:ascii="Arial" w:hAnsi="Arial" w:cs="Arial"/>
          <w:b/>
          <w:i/>
          <w:lang w:val="es-PR"/>
        </w:rPr>
        <w:t>%</w:t>
      </w:r>
    </w:p>
    <w:p w:rsidR="0085709C" w:rsidRPr="00127A9B" w:rsidRDefault="00137CA5" w:rsidP="00137CA5">
      <w:pPr>
        <w:jc w:val="both"/>
        <w:rPr>
          <w:rFonts w:ascii="Arial" w:hAnsi="Arial" w:cs="Arial"/>
          <w:lang w:val="es-PR"/>
        </w:rPr>
      </w:pPr>
      <w:r>
        <w:rPr>
          <w:rFonts w:ascii="Arial" w:hAnsi="Arial" w:cs="Arial"/>
          <w:lang w:val="es-PR"/>
        </w:rPr>
        <w:t xml:space="preserve">     </w:t>
      </w:r>
      <w:r w:rsidR="0085709C" w:rsidRPr="00127A9B">
        <w:rPr>
          <w:rFonts w:ascii="Arial" w:hAnsi="Arial" w:cs="Arial"/>
          <w:lang w:val="es-PR"/>
        </w:rPr>
        <w:t>2012</w:t>
      </w:r>
      <w:r w:rsidR="0085709C" w:rsidRPr="00127A9B">
        <w:rPr>
          <w:rFonts w:ascii="Arial" w:hAnsi="Arial" w:cs="Arial"/>
          <w:lang w:val="es-PR"/>
        </w:rPr>
        <w:tab/>
      </w:r>
      <w:r w:rsidR="0085709C">
        <w:rPr>
          <w:rFonts w:ascii="Arial" w:hAnsi="Arial" w:cs="Arial"/>
          <w:lang w:val="es-PR"/>
        </w:rPr>
        <w:tab/>
        <w:t xml:space="preserve">   </w:t>
      </w:r>
      <w:r w:rsidR="0085709C" w:rsidRPr="00127A9B">
        <w:rPr>
          <w:rFonts w:ascii="Arial" w:hAnsi="Arial" w:cs="Arial"/>
          <w:lang w:val="es-PR"/>
        </w:rPr>
        <w:t>9</w:t>
      </w:r>
      <w:proofErr w:type="gramStart"/>
      <w:r w:rsidR="0085709C" w:rsidRPr="00127A9B">
        <w:rPr>
          <w:rFonts w:ascii="Arial" w:hAnsi="Arial" w:cs="Arial"/>
          <w:lang w:val="es-PR"/>
        </w:rPr>
        <w:t>,134,296</w:t>
      </w:r>
      <w:proofErr w:type="gramEnd"/>
      <w:r w:rsidR="0085709C" w:rsidRPr="00127A9B">
        <w:rPr>
          <w:rFonts w:ascii="Arial" w:hAnsi="Arial" w:cs="Arial"/>
          <w:lang w:val="es-PR"/>
        </w:rPr>
        <w:tab/>
        <w:t>-</w:t>
      </w:r>
      <w:r w:rsidR="0085709C" w:rsidRPr="00127A9B">
        <w:rPr>
          <w:rFonts w:ascii="Arial" w:hAnsi="Arial" w:cs="Arial"/>
          <w:lang w:val="es-PR"/>
        </w:rPr>
        <w:tab/>
      </w:r>
    </w:p>
    <w:p w:rsidR="0085709C" w:rsidRPr="00127A9B" w:rsidRDefault="00137CA5" w:rsidP="0085709C">
      <w:pPr>
        <w:jc w:val="both"/>
        <w:rPr>
          <w:rFonts w:ascii="Arial" w:hAnsi="Arial" w:cs="Arial"/>
          <w:lang w:val="es-PR"/>
        </w:rPr>
      </w:pPr>
      <w:r>
        <w:rPr>
          <w:rFonts w:ascii="Arial" w:hAnsi="Arial" w:cs="Arial"/>
          <w:lang w:val="es-PR"/>
        </w:rPr>
        <w:t xml:space="preserve">     </w:t>
      </w:r>
      <w:r w:rsidR="0085709C" w:rsidRPr="00127A9B">
        <w:rPr>
          <w:rFonts w:ascii="Arial" w:hAnsi="Arial" w:cs="Arial"/>
          <w:lang w:val="es-PR"/>
        </w:rPr>
        <w:t>2013</w:t>
      </w:r>
      <w:r w:rsidR="0085709C" w:rsidRPr="00127A9B">
        <w:rPr>
          <w:rFonts w:ascii="Arial" w:hAnsi="Arial" w:cs="Arial"/>
          <w:lang w:val="es-PR"/>
        </w:rPr>
        <w:tab/>
      </w:r>
      <w:r w:rsidR="0085709C">
        <w:rPr>
          <w:rFonts w:ascii="Arial" w:hAnsi="Arial" w:cs="Arial"/>
          <w:lang w:val="es-PR"/>
        </w:rPr>
        <w:tab/>
        <w:t xml:space="preserve">   </w:t>
      </w:r>
      <w:r w:rsidR="0085709C" w:rsidRPr="00127A9B">
        <w:rPr>
          <w:rFonts w:ascii="Arial" w:hAnsi="Arial" w:cs="Arial"/>
          <w:lang w:val="es-PR"/>
        </w:rPr>
        <w:t>8</w:t>
      </w:r>
      <w:proofErr w:type="gramStart"/>
      <w:r w:rsidR="0085709C" w:rsidRPr="00127A9B">
        <w:rPr>
          <w:rFonts w:ascii="Arial" w:hAnsi="Arial" w:cs="Arial"/>
          <w:lang w:val="es-PR"/>
        </w:rPr>
        <w:t>,720,702</w:t>
      </w:r>
      <w:proofErr w:type="gramEnd"/>
      <w:r w:rsidR="0085709C" w:rsidRPr="00127A9B">
        <w:rPr>
          <w:rFonts w:ascii="Arial" w:hAnsi="Arial" w:cs="Arial"/>
          <w:lang w:val="es-PR"/>
        </w:rPr>
        <w:tab/>
      </w:r>
      <w:r w:rsidR="0085709C">
        <w:rPr>
          <w:rFonts w:ascii="Arial" w:hAnsi="Arial" w:cs="Arial"/>
          <w:lang w:val="es-PR"/>
        </w:rPr>
        <w:tab/>
      </w:r>
      <w:r>
        <w:rPr>
          <w:rFonts w:ascii="Arial" w:hAnsi="Arial" w:cs="Arial"/>
          <w:lang w:val="es-PR"/>
        </w:rPr>
        <w:t xml:space="preserve">         </w:t>
      </w:r>
      <w:r w:rsidR="0085709C" w:rsidRPr="00127A9B">
        <w:rPr>
          <w:rFonts w:ascii="Arial" w:hAnsi="Arial" w:cs="Arial"/>
          <w:lang w:val="es-PR"/>
        </w:rPr>
        <w:t>(413,594)</w:t>
      </w:r>
      <w:r w:rsidR="0085709C" w:rsidRPr="00127A9B">
        <w:rPr>
          <w:rFonts w:ascii="Arial" w:hAnsi="Arial" w:cs="Arial"/>
          <w:lang w:val="es-PR"/>
        </w:rPr>
        <w:tab/>
      </w:r>
      <w:r w:rsidR="0085709C">
        <w:rPr>
          <w:rFonts w:ascii="Arial" w:hAnsi="Arial" w:cs="Arial"/>
          <w:lang w:val="es-PR"/>
        </w:rPr>
        <w:tab/>
      </w:r>
      <w:r>
        <w:rPr>
          <w:rFonts w:ascii="Arial" w:hAnsi="Arial" w:cs="Arial"/>
          <w:lang w:val="es-PR"/>
        </w:rPr>
        <w:tab/>
      </w:r>
      <w:r w:rsidR="00324378">
        <w:rPr>
          <w:rFonts w:ascii="Arial" w:hAnsi="Arial" w:cs="Arial"/>
          <w:lang w:val="es-PR"/>
        </w:rPr>
        <w:t xml:space="preserve">  </w:t>
      </w:r>
      <w:r w:rsidR="0085709C" w:rsidRPr="00127A9B">
        <w:rPr>
          <w:rFonts w:ascii="Arial" w:hAnsi="Arial" w:cs="Arial"/>
          <w:lang w:val="es-PR"/>
        </w:rPr>
        <w:t>(5%)</w:t>
      </w:r>
    </w:p>
    <w:p w:rsidR="0085709C" w:rsidRPr="00127A9B" w:rsidRDefault="00137CA5" w:rsidP="0085709C">
      <w:pPr>
        <w:jc w:val="both"/>
        <w:rPr>
          <w:rFonts w:ascii="Arial" w:hAnsi="Arial" w:cs="Arial"/>
          <w:lang w:val="es-PR"/>
        </w:rPr>
      </w:pPr>
      <w:r>
        <w:rPr>
          <w:rFonts w:ascii="Arial" w:hAnsi="Arial" w:cs="Arial"/>
          <w:lang w:val="es-PR"/>
        </w:rPr>
        <w:t xml:space="preserve">     </w:t>
      </w:r>
      <w:r w:rsidR="0085709C" w:rsidRPr="00127A9B">
        <w:rPr>
          <w:rFonts w:ascii="Arial" w:hAnsi="Arial" w:cs="Arial"/>
          <w:lang w:val="es-PR"/>
        </w:rPr>
        <w:t>2014</w:t>
      </w:r>
      <w:r w:rsidR="0085709C" w:rsidRPr="00127A9B">
        <w:rPr>
          <w:rFonts w:ascii="Arial" w:hAnsi="Arial" w:cs="Arial"/>
          <w:lang w:val="es-PR"/>
        </w:rPr>
        <w:tab/>
      </w:r>
      <w:r w:rsidR="0085709C">
        <w:rPr>
          <w:rFonts w:ascii="Arial" w:hAnsi="Arial" w:cs="Arial"/>
          <w:lang w:val="es-PR"/>
        </w:rPr>
        <w:tab/>
        <w:t xml:space="preserve">   </w:t>
      </w:r>
      <w:r w:rsidR="0085709C" w:rsidRPr="00127A9B">
        <w:rPr>
          <w:rFonts w:ascii="Arial" w:hAnsi="Arial" w:cs="Arial"/>
          <w:lang w:val="es-PR"/>
        </w:rPr>
        <w:t>8</w:t>
      </w:r>
      <w:proofErr w:type="gramStart"/>
      <w:r w:rsidR="0085709C" w:rsidRPr="00127A9B">
        <w:rPr>
          <w:rFonts w:ascii="Arial" w:hAnsi="Arial" w:cs="Arial"/>
          <w:lang w:val="es-PR"/>
        </w:rPr>
        <w:t>,117,427</w:t>
      </w:r>
      <w:proofErr w:type="gramEnd"/>
      <w:r w:rsidR="0085709C" w:rsidRPr="00127A9B">
        <w:rPr>
          <w:rFonts w:ascii="Arial" w:hAnsi="Arial" w:cs="Arial"/>
          <w:lang w:val="es-PR"/>
        </w:rPr>
        <w:tab/>
      </w:r>
      <w:r w:rsidR="0085709C">
        <w:rPr>
          <w:rFonts w:ascii="Arial" w:hAnsi="Arial" w:cs="Arial"/>
          <w:lang w:val="es-PR"/>
        </w:rPr>
        <w:tab/>
      </w:r>
      <w:r>
        <w:rPr>
          <w:rFonts w:ascii="Arial" w:hAnsi="Arial" w:cs="Arial"/>
          <w:lang w:val="es-PR"/>
        </w:rPr>
        <w:t xml:space="preserve">         </w:t>
      </w:r>
      <w:r w:rsidR="0085709C" w:rsidRPr="00127A9B">
        <w:rPr>
          <w:rFonts w:ascii="Arial" w:hAnsi="Arial" w:cs="Arial"/>
          <w:lang w:val="es-PR"/>
        </w:rPr>
        <w:t>(603,275)</w:t>
      </w:r>
      <w:r w:rsidR="0085709C" w:rsidRPr="00127A9B">
        <w:rPr>
          <w:rFonts w:ascii="Arial" w:hAnsi="Arial" w:cs="Arial"/>
          <w:lang w:val="es-PR"/>
        </w:rPr>
        <w:tab/>
      </w:r>
      <w:r w:rsidR="0085709C">
        <w:rPr>
          <w:rFonts w:ascii="Arial" w:hAnsi="Arial" w:cs="Arial"/>
          <w:lang w:val="es-PR"/>
        </w:rPr>
        <w:tab/>
      </w:r>
      <w:r>
        <w:rPr>
          <w:rFonts w:ascii="Arial" w:hAnsi="Arial" w:cs="Arial"/>
          <w:lang w:val="es-PR"/>
        </w:rPr>
        <w:tab/>
      </w:r>
      <w:r w:rsidR="00324378">
        <w:rPr>
          <w:rFonts w:ascii="Arial" w:hAnsi="Arial" w:cs="Arial"/>
          <w:lang w:val="es-PR"/>
        </w:rPr>
        <w:t xml:space="preserve">  </w:t>
      </w:r>
      <w:r w:rsidR="0085709C" w:rsidRPr="00127A9B">
        <w:rPr>
          <w:rFonts w:ascii="Arial" w:hAnsi="Arial" w:cs="Arial"/>
          <w:lang w:val="es-PR"/>
        </w:rPr>
        <w:t>(7%)</w:t>
      </w:r>
    </w:p>
    <w:p w:rsidR="0085709C" w:rsidRPr="00127A9B" w:rsidRDefault="00137CA5" w:rsidP="0085709C">
      <w:pPr>
        <w:jc w:val="both"/>
        <w:rPr>
          <w:rFonts w:ascii="Arial" w:hAnsi="Arial" w:cs="Arial"/>
          <w:lang w:val="es-PR"/>
        </w:rPr>
      </w:pPr>
      <w:r>
        <w:rPr>
          <w:rFonts w:ascii="Arial" w:hAnsi="Arial" w:cs="Arial"/>
          <w:lang w:val="es-PR"/>
        </w:rPr>
        <w:t xml:space="preserve">     </w:t>
      </w:r>
      <w:r w:rsidR="0085709C" w:rsidRPr="00127A9B">
        <w:rPr>
          <w:rFonts w:ascii="Arial" w:hAnsi="Arial" w:cs="Arial"/>
          <w:lang w:val="es-PR"/>
        </w:rPr>
        <w:t>2015</w:t>
      </w:r>
      <w:r w:rsidR="0085709C" w:rsidRPr="00127A9B">
        <w:rPr>
          <w:rFonts w:ascii="Arial" w:hAnsi="Arial" w:cs="Arial"/>
          <w:lang w:val="es-PR"/>
        </w:rPr>
        <w:tab/>
      </w:r>
      <w:r w:rsidR="0085709C">
        <w:rPr>
          <w:rFonts w:ascii="Arial" w:hAnsi="Arial" w:cs="Arial"/>
          <w:lang w:val="es-PR"/>
        </w:rPr>
        <w:tab/>
        <w:t xml:space="preserve">   </w:t>
      </w:r>
      <w:r w:rsidR="0085709C" w:rsidRPr="00127A9B">
        <w:rPr>
          <w:rFonts w:ascii="Arial" w:hAnsi="Arial" w:cs="Arial"/>
          <w:lang w:val="es-PR"/>
        </w:rPr>
        <w:t>8</w:t>
      </w:r>
      <w:proofErr w:type="gramStart"/>
      <w:r w:rsidR="0085709C" w:rsidRPr="00127A9B">
        <w:rPr>
          <w:rFonts w:ascii="Arial" w:hAnsi="Arial" w:cs="Arial"/>
          <w:lang w:val="es-PR"/>
        </w:rPr>
        <w:t>,274,068</w:t>
      </w:r>
      <w:proofErr w:type="gramEnd"/>
      <w:r w:rsidR="0085709C" w:rsidRPr="00127A9B">
        <w:rPr>
          <w:rFonts w:ascii="Arial" w:hAnsi="Arial" w:cs="Arial"/>
          <w:lang w:val="es-PR"/>
        </w:rPr>
        <w:tab/>
      </w:r>
      <w:r w:rsidR="0085709C">
        <w:rPr>
          <w:rFonts w:ascii="Arial" w:hAnsi="Arial" w:cs="Arial"/>
          <w:lang w:val="es-PR"/>
        </w:rPr>
        <w:tab/>
      </w:r>
      <w:r>
        <w:rPr>
          <w:rFonts w:ascii="Arial" w:hAnsi="Arial" w:cs="Arial"/>
          <w:lang w:val="es-PR"/>
        </w:rPr>
        <w:t xml:space="preserve">          </w:t>
      </w:r>
      <w:r w:rsidR="0085709C" w:rsidRPr="00127A9B">
        <w:rPr>
          <w:rFonts w:ascii="Arial" w:hAnsi="Arial" w:cs="Arial"/>
          <w:lang w:val="es-PR"/>
        </w:rPr>
        <w:t>156,641</w:t>
      </w:r>
      <w:r w:rsidR="0085709C" w:rsidRPr="00127A9B">
        <w:rPr>
          <w:rFonts w:ascii="Arial" w:hAnsi="Arial" w:cs="Arial"/>
          <w:lang w:val="es-PR"/>
        </w:rPr>
        <w:tab/>
      </w:r>
      <w:r w:rsidR="0085709C">
        <w:rPr>
          <w:rFonts w:ascii="Arial" w:hAnsi="Arial" w:cs="Arial"/>
          <w:lang w:val="es-PR"/>
        </w:rPr>
        <w:tab/>
      </w:r>
      <w:r>
        <w:rPr>
          <w:rFonts w:ascii="Arial" w:hAnsi="Arial" w:cs="Arial"/>
          <w:lang w:val="es-PR"/>
        </w:rPr>
        <w:tab/>
      </w:r>
      <w:r w:rsidR="00324378">
        <w:rPr>
          <w:rFonts w:ascii="Arial" w:hAnsi="Arial" w:cs="Arial"/>
          <w:lang w:val="es-PR"/>
        </w:rPr>
        <w:t xml:space="preserve"> </w:t>
      </w:r>
      <w:r w:rsidR="0085709C" w:rsidRPr="00127A9B">
        <w:rPr>
          <w:rFonts w:ascii="Arial" w:hAnsi="Arial" w:cs="Arial"/>
          <w:lang w:val="es-PR"/>
        </w:rPr>
        <w:t>+2%</w:t>
      </w:r>
    </w:p>
    <w:p w:rsidR="0085709C" w:rsidRPr="00127A9B" w:rsidRDefault="00137CA5" w:rsidP="0085709C">
      <w:pPr>
        <w:jc w:val="both"/>
        <w:rPr>
          <w:rFonts w:ascii="Arial" w:hAnsi="Arial" w:cs="Arial"/>
          <w:lang w:val="es-PR"/>
        </w:rPr>
      </w:pPr>
      <w:r>
        <w:rPr>
          <w:rFonts w:ascii="Arial" w:hAnsi="Arial" w:cs="Arial"/>
          <w:lang w:val="es-PR"/>
        </w:rPr>
        <w:t xml:space="preserve">     </w:t>
      </w:r>
      <w:r w:rsidR="0085709C" w:rsidRPr="00127A9B">
        <w:rPr>
          <w:rFonts w:ascii="Arial" w:hAnsi="Arial" w:cs="Arial"/>
          <w:lang w:val="es-PR"/>
        </w:rPr>
        <w:t>2016</w:t>
      </w:r>
      <w:r w:rsidR="0085709C" w:rsidRPr="00127A9B">
        <w:rPr>
          <w:rFonts w:ascii="Arial" w:hAnsi="Arial" w:cs="Arial"/>
          <w:lang w:val="es-PR"/>
        </w:rPr>
        <w:tab/>
      </w:r>
      <w:r w:rsidR="0085709C">
        <w:rPr>
          <w:rFonts w:ascii="Arial" w:hAnsi="Arial" w:cs="Arial"/>
          <w:lang w:val="es-PR"/>
        </w:rPr>
        <w:tab/>
      </w:r>
      <w:r>
        <w:rPr>
          <w:rFonts w:ascii="Arial" w:hAnsi="Arial" w:cs="Arial"/>
          <w:lang w:val="es-PR"/>
        </w:rPr>
        <w:t xml:space="preserve">   </w:t>
      </w:r>
      <w:r w:rsidR="0085709C" w:rsidRPr="00127A9B">
        <w:rPr>
          <w:rFonts w:ascii="Arial" w:hAnsi="Arial" w:cs="Arial"/>
          <w:lang w:val="es-PR"/>
        </w:rPr>
        <w:t>7</w:t>
      </w:r>
      <w:proofErr w:type="gramStart"/>
      <w:r w:rsidR="0085709C" w:rsidRPr="00127A9B">
        <w:rPr>
          <w:rFonts w:ascii="Arial" w:hAnsi="Arial" w:cs="Arial"/>
          <w:lang w:val="es-PR"/>
        </w:rPr>
        <w:t>,196,033</w:t>
      </w:r>
      <w:proofErr w:type="gramEnd"/>
      <w:r w:rsidR="0085709C" w:rsidRPr="00127A9B">
        <w:rPr>
          <w:rFonts w:ascii="Arial" w:hAnsi="Arial" w:cs="Arial"/>
          <w:lang w:val="es-PR"/>
        </w:rPr>
        <w:tab/>
      </w:r>
      <w:r w:rsidR="0085709C">
        <w:rPr>
          <w:rFonts w:ascii="Arial" w:hAnsi="Arial" w:cs="Arial"/>
          <w:lang w:val="es-PR"/>
        </w:rPr>
        <w:tab/>
      </w:r>
      <w:r>
        <w:rPr>
          <w:rFonts w:ascii="Arial" w:hAnsi="Arial" w:cs="Arial"/>
          <w:lang w:val="es-PR"/>
        </w:rPr>
        <w:t xml:space="preserve">      </w:t>
      </w:r>
      <w:r w:rsidR="0085709C" w:rsidRPr="00127A9B">
        <w:rPr>
          <w:rFonts w:ascii="Arial" w:hAnsi="Arial" w:cs="Arial"/>
          <w:lang w:val="es-PR"/>
        </w:rPr>
        <w:t>(1,078,035)</w:t>
      </w:r>
      <w:r w:rsidR="0085709C" w:rsidRPr="00127A9B">
        <w:rPr>
          <w:rFonts w:ascii="Arial" w:hAnsi="Arial" w:cs="Arial"/>
          <w:lang w:val="es-PR"/>
        </w:rPr>
        <w:tab/>
      </w:r>
      <w:r w:rsidR="0085709C">
        <w:rPr>
          <w:rFonts w:ascii="Arial" w:hAnsi="Arial" w:cs="Arial"/>
          <w:lang w:val="es-PR"/>
        </w:rPr>
        <w:tab/>
      </w:r>
      <w:r>
        <w:rPr>
          <w:rFonts w:ascii="Arial" w:hAnsi="Arial" w:cs="Arial"/>
          <w:lang w:val="es-PR"/>
        </w:rPr>
        <w:tab/>
      </w:r>
      <w:r w:rsidR="0085709C" w:rsidRPr="00127A9B">
        <w:rPr>
          <w:rFonts w:ascii="Arial" w:hAnsi="Arial" w:cs="Arial"/>
          <w:lang w:val="es-PR"/>
        </w:rPr>
        <w:t>(13%)</w:t>
      </w:r>
    </w:p>
    <w:p w:rsidR="0085709C" w:rsidRPr="00127A9B" w:rsidRDefault="0085709C" w:rsidP="0085709C">
      <w:pPr>
        <w:jc w:val="both"/>
        <w:rPr>
          <w:rFonts w:ascii="Arial" w:hAnsi="Arial" w:cs="Arial"/>
          <w:lang w:val="es-PR"/>
        </w:rPr>
      </w:pPr>
    </w:p>
    <w:p w:rsidR="0085709C" w:rsidRPr="00127A9B" w:rsidRDefault="0085709C" w:rsidP="0085709C">
      <w:pPr>
        <w:jc w:val="both"/>
        <w:rPr>
          <w:rFonts w:ascii="Arial" w:hAnsi="Arial" w:cs="Arial"/>
          <w:lang w:val="es-PR"/>
        </w:rPr>
      </w:pPr>
      <w:r w:rsidRPr="00127A9B">
        <w:rPr>
          <w:rFonts w:ascii="Arial" w:hAnsi="Arial" w:cs="Arial"/>
          <w:lang w:val="es-PR"/>
        </w:rPr>
        <w:t>El Estado Financiero 2014-2015 se afectó negativamente por el pronunciamiento GASB 68 ya que se reconoció la deuda neta de retiro.</w:t>
      </w:r>
    </w:p>
    <w:p w:rsidR="0085709C" w:rsidRPr="00127A9B" w:rsidRDefault="0085709C" w:rsidP="0085709C">
      <w:pPr>
        <w:jc w:val="both"/>
        <w:rPr>
          <w:rFonts w:ascii="Arial" w:hAnsi="Arial" w:cs="Arial"/>
          <w:lang w:val="es-PR"/>
        </w:rPr>
      </w:pPr>
    </w:p>
    <w:p w:rsidR="0085709C" w:rsidRPr="00127A9B" w:rsidRDefault="0085709C" w:rsidP="0085709C">
      <w:pPr>
        <w:jc w:val="both"/>
        <w:rPr>
          <w:rFonts w:ascii="Arial" w:hAnsi="Arial" w:cs="Arial"/>
          <w:lang w:val="es-PR"/>
        </w:rPr>
      </w:pPr>
      <w:r w:rsidRPr="00127A9B">
        <w:rPr>
          <w:rFonts w:ascii="Arial" w:hAnsi="Arial" w:cs="Arial"/>
          <w:lang w:val="es-PR"/>
        </w:rPr>
        <w:t>Para mayor información relacionada a la situación fiscal hemos sometido la información solicitada en la plataforma de la Transición 2016 al igual que copia de todos los Estados Financieros.</w:t>
      </w:r>
    </w:p>
    <w:p w:rsidR="0085709C" w:rsidRDefault="0085709C" w:rsidP="0085709C">
      <w:pPr>
        <w:jc w:val="both"/>
        <w:rPr>
          <w:rFonts w:ascii="Arial" w:hAnsi="Arial" w:cs="Arial"/>
          <w:lang w:val="es-PR"/>
        </w:rPr>
      </w:pPr>
    </w:p>
    <w:p w:rsidR="00D35267" w:rsidRPr="00E452F6" w:rsidRDefault="00D35267" w:rsidP="0085709C">
      <w:pPr>
        <w:jc w:val="both"/>
        <w:rPr>
          <w:rFonts w:ascii="Arial" w:hAnsi="Arial" w:cs="Arial"/>
          <w:lang w:val="es-PR"/>
        </w:rPr>
      </w:pPr>
    </w:p>
    <w:p w:rsidR="0085709C" w:rsidRPr="008B5B6C" w:rsidRDefault="0085709C" w:rsidP="0085709C">
      <w:pPr>
        <w:jc w:val="both"/>
        <w:rPr>
          <w:rFonts w:ascii="Arial" w:hAnsi="Arial" w:cs="Arial"/>
          <w:b/>
          <w:i/>
          <w:lang w:val="es-PR"/>
        </w:rPr>
      </w:pPr>
      <w:r w:rsidRPr="008B5B6C">
        <w:rPr>
          <w:rFonts w:ascii="Arial" w:hAnsi="Arial" w:cs="Arial"/>
          <w:b/>
          <w:i/>
          <w:lang w:val="es-PR"/>
        </w:rPr>
        <w:t>DEPARTAME</w:t>
      </w:r>
      <w:r w:rsidR="00137CA5">
        <w:rPr>
          <w:rFonts w:ascii="Arial" w:hAnsi="Arial" w:cs="Arial"/>
          <w:b/>
          <w:i/>
          <w:lang w:val="es-PR"/>
        </w:rPr>
        <w:t>N</w:t>
      </w:r>
      <w:r w:rsidRPr="008B5B6C">
        <w:rPr>
          <w:rFonts w:ascii="Arial" w:hAnsi="Arial" w:cs="Arial"/>
          <w:b/>
          <w:i/>
          <w:lang w:val="es-PR"/>
        </w:rPr>
        <w:t xml:space="preserve">TO DE BIENES RAÍCES </w:t>
      </w:r>
    </w:p>
    <w:p w:rsidR="0085709C" w:rsidRDefault="0085709C" w:rsidP="0085709C">
      <w:pPr>
        <w:jc w:val="both"/>
        <w:rPr>
          <w:rFonts w:ascii="Arial" w:hAnsi="Arial" w:cs="Arial"/>
          <w:lang w:val="es-PR"/>
        </w:rPr>
      </w:pPr>
    </w:p>
    <w:p w:rsidR="0085709C" w:rsidRDefault="0085709C" w:rsidP="0085709C">
      <w:pPr>
        <w:jc w:val="both"/>
        <w:rPr>
          <w:rFonts w:ascii="Arial" w:hAnsi="Arial" w:cs="Arial"/>
          <w:lang w:val="es-PR"/>
        </w:rPr>
      </w:pPr>
      <w:r>
        <w:rPr>
          <w:rFonts w:ascii="Arial" w:hAnsi="Arial" w:cs="Arial"/>
          <w:lang w:val="es-PR"/>
        </w:rPr>
        <w:t>Bajo este P</w:t>
      </w:r>
      <w:r w:rsidRPr="00E452F6">
        <w:rPr>
          <w:rFonts w:ascii="Arial" w:hAnsi="Arial" w:cs="Arial"/>
          <w:lang w:val="es-PR"/>
        </w:rPr>
        <w:t>rograma se otorga y administra los contratos de arrendamiento y venta de terrenos de la Autoridad de Tierra</w:t>
      </w:r>
      <w:r>
        <w:rPr>
          <w:rFonts w:ascii="Arial" w:hAnsi="Arial" w:cs="Arial"/>
          <w:lang w:val="es-PR"/>
        </w:rPr>
        <w:t>s</w:t>
      </w:r>
      <w:r w:rsidRPr="00E452F6">
        <w:rPr>
          <w:rFonts w:ascii="Arial" w:hAnsi="Arial" w:cs="Arial"/>
          <w:lang w:val="es-PR"/>
        </w:rPr>
        <w:t xml:space="preserve">. </w:t>
      </w:r>
      <w:r>
        <w:rPr>
          <w:rFonts w:ascii="Arial" w:hAnsi="Arial" w:cs="Arial"/>
          <w:lang w:val="es-PR"/>
        </w:rPr>
        <w:t xml:space="preserve"> </w:t>
      </w:r>
      <w:r w:rsidRPr="00E452F6">
        <w:rPr>
          <w:rFonts w:ascii="Arial" w:hAnsi="Arial" w:cs="Arial"/>
          <w:lang w:val="es-PR"/>
        </w:rPr>
        <w:t xml:space="preserve">Para este propósito se creó un </w:t>
      </w:r>
      <w:r>
        <w:rPr>
          <w:rFonts w:ascii="Arial" w:hAnsi="Arial" w:cs="Arial"/>
          <w:lang w:val="es-PR"/>
        </w:rPr>
        <w:t>R</w:t>
      </w:r>
      <w:r w:rsidRPr="00E452F6">
        <w:rPr>
          <w:rFonts w:ascii="Arial" w:hAnsi="Arial" w:cs="Arial"/>
          <w:lang w:val="es-PR"/>
        </w:rPr>
        <w:t>eg</w:t>
      </w:r>
      <w:r>
        <w:rPr>
          <w:rFonts w:ascii="Arial" w:hAnsi="Arial" w:cs="Arial"/>
          <w:lang w:val="es-PR"/>
        </w:rPr>
        <w:t>l</w:t>
      </w:r>
      <w:r w:rsidRPr="00E452F6">
        <w:rPr>
          <w:rFonts w:ascii="Arial" w:hAnsi="Arial" w:cs="Arial"/>
          <w:lang w:val="es-PR"/>
        </w:rPr>
        <w:t>am</w:t>
      </w:r>
      <w:r>
        <w:rPr>
          <w:rFonts w:ascii="Arial" w:hAnsi="Arial" w:cs="Arial"/>
          <w:lang w:val="es-PR"/>
        </w:rPr>
        <w:t>en</w:t>
      </w:r>
      <w:r w:rsidRPr="00E452F6">
        <w:rPr>
          <w:rFonts w:ascii="Arial" w:hAnsi="Arial" w:cs="Arial"/>
          <w:lang w:val="es-PR"/>
        </w:rPr>
        <w:t xml:space="preserve">to de </w:t>
      </w:r>
      <w:r>
        <w:rPr>
          <w:rFonts w:ascii="Arial" w:hAnsi="Arial" w:cs="Arial"/>
          <w:lang w:val="es-PR"/>
        </w:rPr>
        <w:t>A</w:t>
      </w:r>
      <w:r w:rsidRPr="00E452F6">
        <w:rPr>
          <w:rFonts w:ascii="Arial" w:hAnsi="Arial" w:cs="Arial"/>
          <w:lang w:val="es-PR"/>
        </w:rPr>
        <w:t xml:space="preserve">rrendamiento y </w:t>
      </w:r>
      <w:r>
        <w:rPr>
          <w:rFonts w:ascii="Arial" w:hAnsi="Arial" w:cs="Arial"/>
          <w:lang w:val="es-PR"/>
        </w:rPr>
        <w:t>Ventas de T</w:t>
      </w:r>
      <w:r w:rsidRPr="00E452F6">
        <w:rPr>
          <w:rFonts w:ascii="Arial" w:hAnsi="Arial" w:cs="Arial"/>
          <w:lang w:val="es-PR"/>
        </w:rPr>
        <w:t>er</w:t>
      </w:r>
      <w:r>
        <w:rPr>
          <w:rFonts w:ascii="Arial" w:hAnsi="Arial" w:cs="Arial"/>
          <w:lang w:val="es-PR"/>
        </w:rPr>
        <w:t>r</w:t>
      </w:r>
      <w:r w:rsidRPr="00E452F6">
        <w:rPr>
          <w:rFonts w:ascii="Arial" w:hAnsi="Arial" w:cs="Arial"/>
          <w:lang w:val="es-PR"/>
        </w:rPr>
        <w:t>eno</w:t>
      </w:r>
      <w:r>
        <w:rPr>
          <w:rFonts w:ascii="Arial" w:hAnsi="Arial" w:cs="Arial"/>
          <w:lang w:val="es-PR"/>
        </w:rPr>
        <w:t>s</w:t>
      </w:r>
      <w:r w:rsidRPr="00E452F6">
        <w:rPr>
          <w:rFonts w:ascii="Arial" w:hAnsi="Arial" w:cs="Arial"/>
          <w:lang w:val="es-PR"/>
        </w:rPr>
        <w:t xml:space="preserve"> que sirve de guía para los propósitos antes mencionados.</w:t>
      </w:r>
    </w:p>
    <w:p w:rsidR="0085709C" w:rsidRPr="00E452F6" w:rsidRDefault="0085709C" w:rsidP="0085709C">
      <w:pPr>
        <w:jc w:val="both"/>
        <w:rPr>
          <w:rFonts w:ascii="Arial" w:hAnsi="Arial" w:cs="Arial"/>
          <w:lang w:val="es-PR"/>
        </w:rPr>
      </w:pPr>
    </w:p>
    <w:p w:rsidR="0085709C" w:rsidRDefault="0085709C" w:rsidP="0085709C">
      <w:pPr>
        <w:jc w:val="both"/>
        <w:rPr>
          <w:rFonts w:ascii="Arial" w:hAnsi="Arial" w:cs="Arial"/>
          <w:lang w:val="es-PR"/>
        </w:rPr>
      </w:pPr>
      <w:r w:rsidRPr="00E452F6">
        <w:rPr>
          <w:rFonts w:ascii="Arial" w:hAnsi="Arial" w:cs="Arial"/>
          <w:lang w:val="es-PR"/>
        </w:rPr>
        <w:t xml:space="preserve">En enero de 2013 la Autoridad de Tierras tenía otorgados en arrendamientos unas 52,925 cuerdas de terreno, lo que representaba un 60% de los terrenos aptos para la agricultura.  </w:t>
      </w:r>
    </w:p>
    <w:p w:rsidR="0085709C" w:rsidRPr="00E452F6" w:rsidRDefault="0085709C" w:rsidP="0085709C">
      <w:pPr>
        <w:jc w:val="both"/>
        <w:rPr>
          <w:rFonts w:ascii="Arial" w:hAnsi="Arial" w:cs="Arial"/>
          <w:lang w:val="es-PR"/>
        </w:rPr>
      </w:pPr>
    </w:p>
    <w:p w:rsidR="0085709C" w:rsidRDefault="0085709C" w:rsidP="0085709C">
      <w:pPr>
        <w:jc w:val="both"/>
        <w:rPr>
          <w:rFonts w:ascii="Arial" w:hAnsi="Arial" w:cs="Arial"/>
          <w:lang w:val="es-PR"/>
        </w:rPr>
      </w:pPr>
      <w:r w:rsidRPr="00E452F6">
        <w:rPr>
          <w:rFonts w:ascii="Arial" w:hAnsi="Arial" w:cs="Arial"/>
          <w:lang w:val="es-PR"/>
        </w:rPr>
        <w:t>Al 2016 la ATPR ha logrado aumentar los terrenos en arrendamiento en unas 72,683  cuerdas de terreno lo que representa un 98 % de los terrenos aptos para la agricultura que posee la Autoridad.</w:t>
      </w:r>
    </w:p>
    <w:p w:rsidR="0085709C" w:rsidRDefault="0085709C" w:rsidP="0085709C">
      <w:pPr>
        <w:jc w:val="both"/>
        <w:rPr>
          <w:rFonts w:ascii="Arial" w:hAnsi="Arial" w:cs="Arial"/>
          <w:lang w:val="es-PR"/>
        </w:rPr>
      </w:pPr>
    </w:p>
    <w:p w:rsidR="00242E20" w:rsidRDefault="00242E20" w:rsidP="0085709C">
      <w:pPr>
        <w:jc w:val="both"/>
        <w:rPr>
          <w:rFonts w:ascii="Arial" w:hAnsi="Arial" w:cs="Arial"/>
          <w:lang w:val="es-PR"/>
        </w:rPr>
      </w:pPr>
    </w:p>
    <w:p w:rsidR="00242E20" w:rsidRPr="00E452F6" w:rsidRDefault="00242E20" w:rsidP="0085709C">
      <w:pPr>
        <w:jc w:val="both"/>
        <w:rPr>
          <w:rFonts w:ascii="Arial" w:hAnsi="Arial" w:cs="Arial"/>
          <w:lang w:val="es-PR"/>
        </w:rPr>
      </w:pPr>
    </w:p>
    <w:p w:rsidR="0085709C" w:rsidRDefault="0085709C" w:rsidP="0085709C">
      <w:pPr>
        <w:jc w:val="both"/>
        <w:rPr>
          <w:rFonts w:ascii="Arial" w:hAnsi="Arial" w:cs="Arial"/>
          <w:lang w:val="es-PR"/>
        </w:rPr>
      </w:pPr>
      <w:r w:rsidRPr="00E452F6">
        <w:rPr>
          <w:rFonts w:ascii="Arial" w:hAnsi="Arial" w:cs="Arial"/>
          <w:lang w:val="es-PR"/>
        </w:rPr>
        <w:t xml:space="preserve">Se logró completar 297 nuevos contratos por 20,877.23 cuerdas de terreno. </w:t>
      </w:r>
      <w:r>
        <w:rPr>
          <w:rFonts w:ascii="Arial" w:hAnsi="Arial" w:cs="Arial"/>
          <w:lang w:val="es-PR"/>
        </w:rPr>
        <w:t xml:space="preserve"> </w:t>
      </w:r>
      <w:r w:rsidRPr="00E452F6">
        <w:rPr>
          <w:rFonts w:ascii="Arial" w:hAnsi="Arial" w:cs="Arial"/>
          <w:lang w:val="es-PR"/>
        </w:rPr>
        <w:t>Un aumento de 38% en terrenos arrendados.</w:t>
      </w:r>
      <w:r>
        <w:rPr>
          <w:rFonts w:ascii="Arial" w:hAnsi="Arial" w:cs="Arial"/>
          <w:lang w:val="es-PR"/>
        </w:rPr>
        <w:t xml:space="preserve"> </w:t>
      </w:r>
      <w:r w:rsidRPr="00E452F6">
        <w:rPr>
          <w:rFonts w:ascii="Arial" w:hAnsi="Arial" w:cs="Arial"/>
          <w:lang w:val="es-PR"/>
        </w:rPr>
        <w:t xml:space="preserve"> Estos nuevos arrendamientos representan un aumento en ingreso para la ATPR de $3</w:t>
      </w:r>
      <w:proofErr w:type="gramStart"/>
      <w:r w:rsidRPr="00E452F6">
        <w:rPr>
          <w:rFonts w:ascii="Arial" w:hAnsi="Arial" w:cs="Arial"/>
          <w:lang w:val="es-PR"/>
        </w:rPr>
        <w:t>,665,824</w:t>
      </w:r>
      <w:proofErr w:type="gramEnd"/>
      <w:r w:rsidRPr="00E452F6">
        <w:rPr>
          <w:rFonts w:ascii="Arial" w:hAnsi="Arial" w:cs="Arial"/>
          <w:lang w:val="es-PR"/>
        </w:rPr>
        <w:t xml:space="preserve"> por concepto de canon de arrendamiento. </w:t>
      </w:r>
      <w:r>
        <w:rPr>
          <w:rFonts w:ascii="Arial" w:hAnsi="Arial" w:cs="Arial"/>
          <w:lang w:val="es-PR"/>
        </w:rPr>
        <w:t xml:space="preserve"> </w:t>
      </w:r>
      <w:r w:rsidRPr="00E452F6">
        <w:rPr>
          <w:rFonts w:ascii="Arial" w:hAnsi="Arial" w:cs="Arial"/>
          <w:lang w:val="es-PR"/>
        </w:rPr>
        <w:t>Fortaleciendo a su vez los sectores agrícolas de producción</w:t>
      </w:r>
      <w:r>
        <w:rPr>
          <w:rFonts w:ascii="Arial" w:hAnsi="Arial" w:cs="Arial"/>
          <w:lang w:val="es-PR"/>
        </w:rPr>
        <w:t xml:space="preserve"> de forraje, frutales, fariná</w:t>
      </w:r>
      <w:r w:rsidRPr="00E452F6">
        <w:rPr>
          <w:rFonts w:ascii="Arial" w:hAnsi="Arial" w:cs="Arial"/>
          <w:lang w:val="es-PR"/>
        </w:rPr>
        <w:t>c</w:t>
      </w:r>
      <w:r>
        <w:rPr>
          <w:rFonts w:ascii="Arial" w:hAnsi="Arial" w:cs="Arial"/>
          <w:lang w:val="es-PR"/>
        </w:rPr>
        <w:t>e</w:t>
      </w:r>
      <w:r w:rsidRPr="00E452F6">
        <w:rPr>
          <w:rFonts w:ascii="Arial" w:hAnsi="Arial" w:cs="Arial"/>
          <w:lang w:val="es-PR"/>
        </w:rPr>
        <w:t>os, ganado de carne y lechero</w:t>
      </w:r>
      <w:r>
        <w:rPr>
          <w:rFonts w:ascii="Arial" w:hAnsi="Arial" w:cs="Arial"/>
          <w:lang w:val="es-PR"/>
        </w:rPr>
        <w:t>,</w:t>
      </w:r>
      <w:r w:rsidRPr="00E452F6">
        <w:rPr>
          <w:rFonts w:ascii="Arial" w:hAnsi="Arial" w:cs="Arial"/>
          <w:lang w:val="es-PR"/>
        </w:rPr>
        <w:t xml:space="preserve"> entre otros. </w:t>
      </w:r>
    </w:p>
    <w:p w:rsidR="0085709C" w:rsidRPr="00E452F6" w:rsidRDefault="0085709C" w:rsidP="0085709C">
      <w:pPr>
        <w:jc w:val="both"/>
        <w:rPr>
          <w:rFonts w:ascii="Arial" w:hAnsi="Arial" w:cs="Arial"/>
          <w:lang w:val="es-PR"/>
        </w:rPr>
      </w:pPr>
    </w:p>
    <w:p w:rsidR="0085709C" w:rsidRDefault="0085709C" w:rsidP="0085709C">
      <w:pPr>
        <w:jc w:val="both"/>
        <w:rPr>
          <w:rFonts w:ascii="Arial" w:hAnsi="Arial" w:cs="Arial"/>
          <w:lang w:val="es-PR"/>
        </w:rPr>
      </w:pPr>
      <w:r w:rsidRPr="00E452F6">
        <w:rPr>
          <w:rFonts w:ascii="Arial" w:hAnsi="Arial" w:cs="Arial"/>
          <w:lang w:val="es-PR"/>
        </w:rPr>
        <w:t>Bajo esta área se logró trabajar al 30 de septiembre de 2016, 78 enmiendas a contratos,</w:t>
      </w:r>
      <w:r>
        <w:rPr>
          <w:rFonts w:ascii="Arial" w:hAnsi="Arial" w:cs="Arial"/>
          <w:lang w:val="es-PR"/>
        </w:rPr>
        <w:t xml:space="preserve"> </w:t>
      </w:r>
      <w:r w:rsidRPr="00E452F6">
        <w:rPr>
          <w:rFonts w:ascii="Arial" w:hAnsi="Arial" w:cs="Arial"/>
          <w:lang w:val="es-PR"/>
        </w:rPr>
        <w:t xml:space="preserve">138 renovaciones y 297 nuevos contratos.  </w:t>
      </w:r>
      <w:r>
        <w:rPr>
          <w:rFonts w:ascii="Arial" w:hAnsi="Arial" w:cs="Arial"/>
          <w:lang w:val="es-PR"/>
        </w:rPr>
        <w:t>(Ver anejo 1).</w:t>
      </w:r>
    </w:p>
    <w:p w:rsidR="0085709C" w:rsidRDefault="0085709C" w:rsidP="0085709C">
      <w:pPr>
        <w:jc w:val="both"/>
        <w:rPr>
          <w:rFonts w:ascii="Arial" w:hAnsi="Arial" w:cs="Arial"/>
          <w:lang w:val="es-PR"/>
        </w:rPr>
      </w:pPr>
    </w:p>
    <w:p w:rsidR="00D2388B" w:rsidRPr="00E452F6" w:rsidRDefault="00D2388B" w:rsidP="0085709C">
      <w:pPr>
        <w:jc w:val="both"/>
        <w:rPr>
          <w:rFonts w:ascii="Arial" w:hAnsi="Arial" w:cs="Arial"/>
          <w:lang w:val="es-PR"/>
        </w:rPr>
      </w:pPr>
    </w:p>
    <w:p w:rsidR="0085709C" w:rsidRPr="008B5B6C" w:rsidRDefault="0085709C" w:rsidP="0085709C">
      <w:pPr>
        <w:jc w:val="both"/>
        <w:rPr>
          <w:rFonts w:ascii="Arial" w:hAnsi="Arial" w:cs="Arial"/>
          <w:b/>
          <w:i/>
          <w:lang w:val="es-PR"/>
        </w:rPr>
      </w:pPr>
      <w:r w:rsidRPr="008B5B6C">
        <w:rPr>
          <w:rFonts w:ascii="Arial" w:hAnsi="Arial" w:cs="Arial"/>
          <w:b/>
          <w:i/>
          <w:lang w:val="es-PR"/>
        </w:rPr>
        <w:t>PROGRAMA DE FINCA</w:t>
      </w:r>
      <w:r w:rsidR="00242E20">
        <w:rPr>
          <w:rFonts w:ascii="Arial" w:hAnsi="Arial" w:cs="Arial"/>
          <w:b/>
          <w:i/>
          <w:lang w:val="es-PR"/>
        </w:rPr>
        <w:t>S</w:t>
      </w:r>
      <w:r w:rsidRPr="008B5B6C">
        <w:rPr>
          <w:rFonts w:ascii="Arial" w:hAnsi="Arial" w:cs="Arial"/>
          <w:b/>
          <w:i/>
          <w:lang w:val="es-PR"/>
        </w:rPr>
        <w:t xml:space="preserve"> FAMILIARES</w:t>
      </w:r>
    </w:p>
    <w:p w:rsidR="0085709C" w:rsidRDefault="0085709C" w:rsidP="0085709C">
      <w:pPr>
        <w:jc w:val="both"/>
        <w:rPr>
          <w:rFonts w:ascii="Arial" w:hAnsi="Arial" w:cs="Arial"/>
          <w:lang w:val="es-PR"/>
        </w:rPr>
      </w:pPr>
    </w:p>
    <w:p w:rsidR="0085709C" w:rsidRDefault="0085709C" w:rsidP="0085709C">
      <w:pPr>
        <w:jc w:val="both"/>
        <w:rPr>
          <w:rFonts w:ascii="Arial" w:hAnsi="Arial" w:cs="Arial"/>
          <w:lang w:val="es-PR"/>
        </w:rPr>
      </w:pPr>
      <w:r w:rsidRPr="00E452F6">
        <w:rPr>
          <w:rFonts w:ascii="Arial" w:hAnsi="Arial" w:cs="Arial"/>
          <w:lang w:val="es-PR"/>
        </w:rPr>
        <w:t>La Ley núm. 5 de 7 de diciembre de 1966,</w:t>
      </w:r>
      <w:r w:rsidR="00242E20">
        <w:rPr>
          <w:rFonts w:ascii="Arial" w:hAnsi="Arial" w:cs="Arial"/>
          <w:lang w:val="es-PR"/>
        </w:rPr>
        <w:t xml:space="preserve"> </w:t>
      </w:r>
      <w:r w:rsidRPr="00E452F6">
        <w:rPr>
          <w:rFonts w:ascii="Arial" w:hAnsi="Arial" w:cs="Arial"/>
          <w:lang w:val="es-PR"/>
        </w:rPr>
        <w:t>según enmendada tuvo como propósito aprobar un nuevo Título VI de la Ley núm. 26 de 12 de abril de 1941 (conocido como Programa de Fincas Familiares)</w:t>
      </w:r>
      <w:r>
        <w:rPr>
          <w:rFonts w:ascii="Arial" w:hAnsi="Arial" w:cs="Arial"/>
          <w:lang w:val="es-PR"/>
        </w:rPr>
        <w:t>,</w:t>
      </w:r>
      <w:r w:rsidRPr="00E452F6">
        <w:rPr>
          <w:rFonts w:ascii="Arial" w:hAnsi="Arial" w:cs="Arial"/>
          <w:lang w:val="es-PR"/>
        </w:rPr>
        <w:t xml:space="preserve"> para establecer dentro del Departamento de Agricultura de Puerto Rico</w:t>
      </w:r>
      <w:r w:rsidR="00242E20">
        <w:rPr>
          <w:rFonts w:ascii="Arial" w:hAnsi="Arial" w:cs="Arial"/>
          <w:lang w:val="es-PR"/>
        </w:rPr>
        <w:t>,</w:t>
      </w:r>
      <w:r w:rsidRPr="00E452F6">
        <w:rPr>
          <w:rFonts w:ascii="Arial" w:hAnsi="Arial" w:cs="Arial"/>
          <w:lang w:val="es-PR"/>
        </w:rPr>
        <w:t xml:space="preserve"> un Programa para promover y estimular el uso intenso de la tierra puertorriqueña mediante la creación de fincas que permitan un nivel de vida adecuado a familiares que las explotan y permitir el establecimiento de facilidades y servicios público</w:t>
      </w:r>
      <w:r>
        <w:rPr>
          <w:rFonts w:ascii="Arial" w:hAnsi="Arial" w:cs="Arial"/>
          <w:lang w:val="es-PR"/>
        </w:rPr>
        <w:t>s</w:t>
      </w:r>
      <w:r w:rsidRPr="00E452F6">
        <w:rPr>
          <w:rFonts w:ascii="Arial" w:hAnsi="Arial" w:cs="Arial"/>
          <w:lang w:val="es-PR"/>
        </w:rPr>
        <w:t xml:space="preserve"> y privados necesario</w:t>
      </w:r>
      <w:r>
        <w:rPr>
          <w:rFonts w:ascii="Arial" w:hAnsi="Arial" w:cs="Arial"/>
          <w:lang w:val="es-PR"/>
        </w:rPr>
        <w:t>s</w:t>
      </w:r>
      <w:r w:rsidRPr="00E452F6">
        <w:rPr>
          <w:rFonts w:ascii="Arial" w:hAnsi="Arial" w:cs="Arial"/>
          <w:lang w:val="es-PR"/>
        </w:rPr>
        <w:t xml:space="preserve"> para su bienestar.  </w:t>
      </w:r>
    </w:p>
    <w:p w:rsidR="0085709C" w:rsidRPr="00E452F6" w:rsidRDefault="0085709C" w:rsidP="0085709C">
      <w:pPr>
        <w:jc w:val="both"/>
        <w:rPr>
          <w:rFonts w:ascii="Arial" w:hAnsi="Arial" w:cs="Arial"/>
          <w:lang w:val="es-PR"/>
        </w:rPr>
      </w:pPr>
    </w:p>
    <w:p w:rsidR="0085709C" w:rsidRDefault="0085709C" w:rsidP="0085709C">
      <w:pPr>
        <w:jc w:val="both"/>
        <w:rPr>
          <w:rFonts w:ascii="Arial" w:hAnsi="Arial" w:cs="Arial"/>
          <w:lang w:val="es-PR"/>
        </w:rPr>
      </w:pPr>
      <w:r w:rsidRPr="00E452F6">
        <w:rPr>
          <w:rFonts w:ascii="Arial" w:hAnsi="Arial" w:cs="Arial"/>
          <w:lang w:val="es-PR"/>
        </w:rPr>
        <w:t>Medi</w:t>
      </w:r>
      <w:r>
        <w:rPr>
          <w:rFonts w:ascii="Arial" w:hAnsi="Arial" w:cs="Arial"/>
          <w:lang w:val="es-PR"/>
        </w:rPr>
        <w:t>ante el Plan de Reorganización N</w:t>
      </w:r>
      <w:r w:rsidRPr="00E452F6">
        <w:rPr>
          <w:rFonts w:ascii="Arial" w:hAnsi="Arial" w:cs="Arial"/>
          <w:lang w:val="es-PR"/>
        </w:rPr>
        <w:t xml:space="preserve">úmero cuatro (4) del 29 de julio de 2010 del Departamento de Agricultura, se transfiere a la Autoridad de Tierras de Puerto Rico el </w:t>
      </w:r>
      <w:r>
        <w:rPr>
          <w:rFonts w:ascii="Arial" w:hAnsi="Arial" w:cs="Arial"/>
          <w:lang w:val="es-PR"/>
        </w:rPr>
        <w:t>P</w:t>
      </w:r>
      <w:r w:rsidRPr="00E452F6">
        <w:rPr>
          <w:rFonts w:ascii="Arial" w:hAnsi="Arial" w:cs="Arial"/>
          <w:lang w:val="es-PR"/>
        </w:rPr>
        <w:t>rograma de Fincas Familiares, para ser administrado de acuerdo con dicha Ley y con las facultades concedidas a la Autoridad de Tierras.</w:t>
      </w:r>
    </w:p>
    <w:p w:rsidR="0085709C" w:rsidRPr="00E452F6" w:rsidRDefault="0085709C" w:rsidP="0085709C">
      <w:pPr>
        <w:jc w:val="both"/>
        <w:rPr>
          <w:rFonts w:ascii="Arial" w:hAnsi="Arial" w:cs="Arial"/>
          <w:lang w:val="es-PR"/>
        </w:rPr>
      </w:pPr>
    </w:p>
    <w:p w:rsidR="0085709C" w:rsidRDefault="0085709C" w:rsidP="0085709C">
      <w:pPr>
        <w:jc w:val="both"/>
        <w:rPr>
          <w:rFonts w:ascii="Arial" w:hAnsi="Arial" w:cs="Arial"/>
          <w:lang w:val="es-PR"/>
        </w:rPr>
      </w:pPr>
      <w:r w:rsidRPr="00E452F6">
        <w:rPr>
          <w:rFonts w:ascii="Arial" w:hAnsi="Arial" w:cs="Arial"/>
          <w:lang w:val="es-PR"/>
        </w:rPr>
        <w:t xml:space="preserve">El </w:t>
      </w:r>
      <w:r>
        <w:rPr>
          <w:rFonts w:ascii="Arial" w:hAnsi="Arial" w:cs="Arial"/>
          <w:lang w:val="es-PR"/>
        </w:rPr>
        <w:t>P</w:t>
      </w:r>
      <w:r w:rsidRPr="00E452F6">
        <w:rPr>
          <w:rFonts w:ascii="Arial" w:hAnsi="Arial" w:cs="Arial"/>
          <w:lang w:val="es-PR"/>
        </w:rPr>
        <w:t>rograma cuenta con un total de 53,000 cuerdas de terreno ubicadas en 185 Proyectos los cuales a</w:t>
      </w:r>
      <w:r>
        <w:rPr>
          <w:rFonts w:ascii="Arial" w:hAnsi="Arial" w:cs="Arial"/>
          <w:lang w:val="es-PR"/>
        </w:rPr>
        <w:t xml:space="preserve"> </w:t>
      </w:r>
      <w:r w:rsidRPr="00E452F6">
        <w:rPr>
          <w:rFonts w:ascii="Arial" w:hAnsi="Arial" w:cs="Arial"/>
          <w:lang w:val="es-PR"/>
        </w:rPr>
        <w:t>su ve</w:t>
      </w:r>
      <w:r>
        <w:rPr>
          <w:rFonts w:ascii="Arial" w:hAnsi="Arial" w:cs="Arial"/>
          <w:lang w:val="es-PR"/>
        </w:rPr>
        <w:t>z</w:t>
      </w:r>
      <w:r w:rsidRPr="00E452F6">
        <w:rPr>
          <w:rFonts w:ascii="Arial" w:hAnsi="Arial" w:cs="Arial"/>
          <w:lang w:val="es-PR"/>
        </w:rPr>
        <w:t xml:space="preserve"> se dividen en 3,295 fincas familiares.  De estas fincas familiares 2,132 ya sus agricultores son titulares y 1,163 se encuentra</w:t>
      </w:r>
      <w:r w:rsidR="00242E20">
        <w:rPr>
          <w:rFonts w:ascii="Arial" w:hAnsi="Arial" w:cs="Arial"/>
          <w:lang w:val="es-PR"/>
        </w:rPr>
        <w:t>n</w:t>
      </w:r>
      <w:r w:rsidRPr="00E452F6">
        <w:rPr>
          <w:rFonts w:ascii="Arial" w:hAnsi="Arial" w:cs="Arial"/>
          <w:lang w:val="es-PR"/>
        </w:rPr>
        <w:t xml:space="preserve"> en usufructo o arrendamiento.  </w:t>
      </w:r>
    </w:p>
    <w:p w:rsidR="0085709C" w:rsidRPr="00E452F6" w:rsidRDefault="0085709C" w:rsidP="0085709C">
      <w:pPr>
        <w:jc w:val="both"/>
        <w:rPr>
          <w:rFonts w:ascii="Arial" w:hAnsi="Arial" w:cs="Arial"/>
          <w:lang w:val="es-PR"/>
        </w:rPr>
      </w:pPr>
    </w:p>
    <w:p w:rsidR="0085709C" w:rsidRPr="00C243C9" w:rsidRDefault="0085709C" w:rsidP="0085709C">
      <w:pPr>
        <w:pStyle w:val="NoSpacing"/>
        <w:jc w:val="both"/>
        <w:rPr>
          <w:rFonts w:ascii="Arial" w:hAnsi="Arial" w:cs="Arial"/>
          <w:sz w:val="24"/>
          <w:szCs w:val="24"/>
          <w:lang w:val="es-PR"/>
        </w:rPr>
      </w:pPr>
      <w:r w:rsidRPr="00C243C9">
        <w:rPr>
          <w:rFonts w:ascii="Arial" w:hAnsi="Arial" w:cs="Arial"/>
          <w:sz w:val="24"/>
          <w:szCs w:val="24"/>
          <w:lang w:val="es-PR"/>
        </w:rPr>
        <w:t>Bajo este Programa se administran estas fincas y se realizan las siguientes funciones:</w:t>
      </w:r>
    </w:p>
    <w:p w:rsidR="0085709C" w:rsidRPr="00C243C9" w:rsidRDefault="0085709C" w:rsidP="0085709C">
      <w:pPr>
        <w:pStyle w:val="NoSpacing"/>
        <w:jc w:val="both"/>
        <w:rPr>
          <w:rFonts w:ascii="Arial" w:hAnsi="Arial" w:cs="Arial"/>
          <w:sz w:val="24"/>
          <w:szCs w:val="24"/>
          <w:lang w:val="es-PR"/>
        </w:rPr>
      </w:pPr>
    </w:p>
    <w:p w:rsidR="0085709C" w:rsidRPr="00C243C9" w:rsidRDefault="0085709C" w:rsidP="0085709C">
      <w:pPr>
        <w:pStyle w:val="NoSpacing"/>
        <w:jc w:val="both"/>
        <w:rPr>
          <w:rFonts w:ascii="Arial" w:hAnsi="Arial" w:cs="Arial"/>
          <w:sz w:val="24"/>
          <w:szCs w:val="24"/>
          <w:lang w:val="es-PR"/>
        </w:rPr>
      </w:pPr>
      <w:r w:rsidRPr="00C243C9">
        <w:rPr>
          <w:rFonts w:ascii="Arial" w:hAnsi="Arial" w:cs="Arial"/>
          <w:sz w:val="24"/>
          <w:szCs w:val="24"/>
          <w:lang w:val="es-PR"/>
        </w:rPr>
        <w:t xml:space="preserve">•Seguimiento al Reglamento de Fincas Familiares al amparo del Título </w:t>
      </w:r>
      <w:r w:rsidRPr="002A6238">
        <w:rPr>
          <w:rFonts w:ascii="Arial" w:hAnsi="Arial" w:cs="Arial"/>
          <w:sz w:val="24"/>
          <w:szCs w:val="24"/>
          <w:lang w:val="es-PR"/>
        </w:rPr>
        <w:t>VI</w:t>
      </w:r>
      <w:r w:rsidRPr="00C243C9">
        <w:rPr>
          <w:rFonts w:ascii="Arial" w:hAnsi="Arial" w:cs="Arial"/>
          <w:sz w:val="24"/>
          <w:szCs w:val="24"/>
          <w:lang w:val="es-PR"/>
        </w:rPr>
        <w:t xml:space="preserve"> de la Ley de Tierras.</w:t>
      </w:r>
    </w:p>
    <w:p w:rsidR="0085709C" w:rsidRPr="00C243C9" w:rsidRDefault="0085709C" w:rsidP="0085709C">
      <w:pPr>
        <w:pStyle w:val="NoSpacing"/>
        <w:jc w:val="both"/>
        <w:rPr>
          <w:rFonts w:ascii="Arial" w:hAnsi="Arial" w:cs="Arial"/>
          <w:sz w:val="24"/>
          <w:szCs w:val="24"/>
          <w:lang w:val="es-PR"/>
        </w:rPr>
      </w:pPr>
      <w:r w:rsidRPr="00C243C9">
        <w:rPr>
          <w:rFonts w:ascii="Arial" w:hAnsi="Arial" w:cs="Arial"/>
          <w:sz w:val="24"/>
          <w:szCs w:val="24"/>
          <w:lang w:val="es-PR"/>
        </w:rPr>
        <w:t>•Orientación técnica sobre desarrollo agrícola.</w:t>
      </w:r>
    </w:p>
    <w:p w:rsidR="0085709C" w:rsidRPr="00C243C9" w:rsidRDefault="0085709C" w:rsidP="0085709C">
      <w:pPr>
        <w:pStyle w:val="NoSpacing"/>
        <w:jc w:val="both"/>
        <w:rPr>
          <w:rFonts w:ascii="Arial" w:hAnsi="Arial" w:cs="Arial"/>
          <w:sz w:val="24"/>
          <w:szCs w:val="24"/>
          <w:lang w:val="es-PR"/>
        </w:rPr>
      </w:pPr>
      <w:r w:rsidRPr="00C243C9">
        <w:rPr>
          <w:rFonts w:ascii="Arial" w:hAnsi="Arial" w:cs="Arial"/>
          <w:sz w:val="24"/>
          <w:szCs w:val="24"/>
          <w:lang w:val="es-PR"/>
        </w:rPr>
        <w:t>•Evaluar, recomendar y otorgar Título</w:t>
      </w:r>
      <w:r w:rsidR="00242E20">
        <w:rPr>
          <w:rFonts w:ascii="Arial" w:hAnsi="Arial" w:cs="Arial"/>
          <w:sz w:val="24"/>
          <w:szCs w:val="24"/>
          <w:lang w:val="es-PR"/>
        </w:rPr>
        <w:t>s</w:t>
      </w:r>
      <w:r w:rsidRPr="00C243C9">
        <w:rPr>
          <w:rFonts w:ascii="Arial" w:hAnsi="Arial" w:cs="Arial"/>
          <w:sz w:val="24"/>
          <w:szCs w:val="24"/>
          <w:lang w:val="es-PR"/>
        </w:rPr>
        <w:t xml:space="preserve"> de Propiedad.</w:t>
      </w:r>
    </w:p>
    <w:p w:rsidR="0085709C" w:rsidRPr="00C243C9" w:rsidRDefault="0085709C" w:rsidP="0085709C">
      <w:pPr>
        <w:pStyle w:val="NoSpacing"/>
        <w:jc w:val="both"/>
        <w:rPr>
          <w:rFonts w:ascii="Arial" w:hAnsi="Arial" w:cs="Arial"/>
          <w:sz w:val="24"/>
          <w:szCs w:val="24"/>
          <w:lang w:val="es-PR"/>
        </w:rPr>
      </w:pPr>
      <w:r w:rsidRPr="00C243C9">
        <w:rPr>
          <w:rFonts w:ascii="Arial" w:hAnsi="Arial" w:cs="Arial"/>
          <w:sz w:val="24"/>
          <w:szCs w:val="24"/>
          <w:lang w:val="es-PR"/>
        </w:rPr>
        <w:t>•Ofrecer servicios legales relacionados con las fincas familiares en usufructo.</w:t>
      </w:r>
    </w:p>
    <w:p w:rsidR="0085709C" w:rsidRPr="00C243C9" w:rsidRDefault="0085709C" w:rsidP="0085709C">
      <w:pPr>
        <w:pStyle w:val="NoSpacing"/>
        <w:jc w:val="both"/>
        <w:rPr>
          <w:rFonts w:ascii="Arial" w:hAnsi="Arial" w:cs="Arial"/>
          <w:sz w:val="24"/>
          <w:szCs w:val="24"/>
          <w:lang w:val="es-PR"/>
        </w:rPr>
      </w:pPr>
      <w:r w:rsidRPr="00C243C9">
        <w:rPr>
          <w:rFonts w:ascii="Arial" w:hAnsi="Arial" w:cs="Arial"/>
          <w:sz w:val="24"/>
          <w:szCs w:val="24"/>
          <w:lang w:val="es-PR"/>
        </w:rPr>
        <w:t>•Vistas Administrativas (proceso de vacantes)</w:t>
      </w:r>
    </w:p>
    <w:p w:rsidR="0085709C" w:rsidRPr="00C243C9" w:rsidRDefault="0085709C" w:rsidP="0085709C">
      <w:pPr>
        <w:pStyle w:val="NoSpacing"/>
        <w:jc w:val="both"/>
        <w:rPr>
          <w:rFonts w:ascii="Arial" w:hAnsi="Arial" w:cs="Arial"/>
          <w:sz w:val="24"/>
          <w:szCs w:val="24"/>
          <w:lang w:val="es-PR"/>
        </w:rPr>
      </w:pPr>
      <w:r w:rsidRPr="00C243C9">
        <w:rPr>
          <w:rFonts w:ascii="Arial" w:hAnsi="Arial" w:cs="Arial"/>
          <w:sz w:val="24"/>
          <w:szCs w:val="24"/>
          <w:lang w:val="es-PR"/>
        </w:rPr>
        <w:t>•Compraventas con Restricciones</w:t>
      </w:r>
    </w:p>
    <w:p w:rsidR="0085709C" w:rsidRPr="00C243C9" w:rsidRDefault="0085709C" w:rsidP="0085709C">
      <w:pPr>
        <w:pStyle w:val="NoSpacing"/>
        <w:jc w:val="both"/>
        <w:rPr>
          <w:rFonts w:ascii="Arial" w:hAnsi="Arial" w:cs="Arial"/>
          <w:sz w:val="24"/>
          <w:szCs w:val="24"/>
          <w:lang w:val="es-PR"/>
        </w:rPr>
      </w:pPr>
      <w:r w:rsidRPr="00C243C9">
        <w:rPr>
          <w:rFonts w:ascii="Arial" w:hAnsi="Arial" w:cs="Arial"/>
          <w:sz w:val="24"/>
          <w:szCs w:val="24"/>
          <w:lang w:val="es-PR"/>
        </w:rPr>
        <w:t>•Cancelación de Hipoteca</w:t>
      </w:r>
    </w:p>
    <w:p w:rsidR="0085709C" w:rsidRPr="00C243C9" w:rsidRDefault="0085709C" w:rsidP="0085709C">
      <w:pPr>
        <w:pStyle w:val="NoSpacing"/>
        <w:jc w:val="both"/>
        <w:rPr>
          <w:rFonts w:ascii="Arial" w:hAnsi="Arial" w:cs="Arial"/>
          <w:sz w:val="24"/>
          <w:szCs w:val="24"/>
          <w:lang w:val="es-PR"/>
        </w:rPr>
      </w:pPr>
      <w:r w:rsidRPr="00C243C9">
        <w:rPr>
          <w:rFonts w:ascii="Arial" w:hAnsi="Arial" w:cs="Arial"/>
          <w:sz w:val="24"/>
          <w:szCs w:val="24"/>
          <w:lang w:val="es-PR"/>
        </w:rPr>
        <w:t>•Certificación de Mensura</w:t>
      </w:r>
    </w:p>
    <w:p w:rsidR="0085709C" w:rsidRPr="00C243C9" w:rsidRDefault="0085709C" w:rsidP="0085709C">
      <w:pPr>
        <w:pStyle w:val="NoSpacing"/>
        <w:jc w:val="both"/>
        <w:rPr>
          <w:rFonts w:ascii="Arial" w:hAnsi="Arial" w:cs="Arial"/>
          <w:sz w:val="24"/>
          <w:szCs w:val="24"/>
          <w:lang w:val="es-PR"/>
        </w:rPr>
      </w:pPr>
      <w:r w:rsidRPr="00C243C9">
        <w:rPr>
          <w:rFonts w:ascii="Arial" w:hAnsi="Arial" w:cs="Arial"/>
          <w:sz w:val="24"/>
          <w:szCs w:val="24"/>
          <w:lang w:val="es-PR"/>
        </w:rPr>
        <w:t>•Evaluar, recomendar y otorgar las Liberación Cláusula de Venta.</w:t>
      </w:r>
    </w:p>
    <w:p w:rsidR="0085709C" w:rsidRPr="00C243C9" w:rsidRDefault="0085709C" w:rsidP="0085709C">
      <w:pPr>
        <w:pStyle w:val="NoSpacing"/>
        <w:jc w:val="both"/>
        <w:rPr>
          <w:rFonts w:ascii="Arial" w:hAnsi="Arial" w:cs="Arial"/>
          <w:sz w:val="24"/>
          <w:szCs w:val="24"/>
          <w:lang w:val="es-PR"/>
        </w:rPr>
      </w:pPr>
      <w:r w:rsidRPr="00C243C9">
        <w:rPr>
          <w:rFonts w:ascii="Arial" w:hAnsi="Arial" w:cs="Arial"/>
          <w:sz w:val="24"/>
          <w:szCs w:val="24"/>
          <w:lang w:val="es-PR"/>
        </w:rPr>
        <w:lastRenderedPageBreak/>
        <w:t xml:space="preserve">•Evaluar y someter comentarios a través de </w:t>
      </w:r>
      <w:r w:rsidR="00D2388B">
        <w:rPr>
          <w:rFonts w:ascii="Arial" w:hAnsi="Arial" w:cs="Arial"/>
          <w:sz w:val="24"/>
          <w:szCs w:val="24"/>
          <w:lang w:val="es-PR"/>
        </w:rPr>
        <w:t>ponencias</w:t>
      </w:r>
      <w:r w:rsidRPr="00C243C9">
        <w:rPr>
          <w:rFonts w:ascii="Arial" w:hAnsi="Arial" w:cs="Arial"/>
          <w:color w:val="FF0000"/>
          <w:sz w:val="24"/>
          <w:szCs w:val="24"/>
          <w:lang w:val="es-PR"/>
        </w:rPr>
        <w:t xml:space="preserve"> </w:t>
      </w:r>
      <w:r w:rsidRPr="00C243C9">
        <w:rPr>
          <w:rFonts w:ascii="Arial" w:hAnsi="Arial" w:cs="Arial"/>
          <w:sz w:val="24"/>
          <w:szCs w:val="24"/>
          <w:lang w:val="es-PR"/>
        </w:rPr>
        <w:t>sobre las Resoluciones sometidas por la Asamblea Legislativa, custodios de la Ley Núm. 107 de 3 de julio de 1974.</w:t>
      </w:r>
    </w:p>
    <w:p w:rsidR="0085709C" w:rsidRPr="00C243C9" w:rsidRDefault="0085709C" w:rsidP="0085709C">
      <w:pPr>
        <w:pStyle w:val="NoSpacing"/>
        <w:jc w:val="both"/>
        <w:rPr>
          <w:rFonts w:ascii="Arial" w:hAnsi="Arial" w:cs="Arial"/>
          <w:sz w:val="24"/>
          <w:szCs w:val="24"/>
          <w:lang w:val="es-PR"/>
        </w:rPr>
      </w:pPr>
      <w:r w:rsidRPr="00C243C9">
        <w:rPr>
          <w:rFonts w:ascii="Arial" w:hAnsi="Arial" w:cs="Arial"/>
          <w:sz w:val="24"/>
          <w:szCs w:val="24"/>
          <w:lang w:val="es-PR"/>
        </w:rPr>
        <w:t>•Fomentar el desarrollo agrícola.</w:t>
      </w:r>
    </w:p>
    <w:p w:rsidR="0085709C" w:rsidRPr="00C243C9" w:rsidRDefault="0085709C" w:rsidP="0085709C">
      <w:pPr>
        <w:pStyle w:val="NoSpacing"/>
        <w:jc w:val="both"/>
        <w:rPr>
          <w:rFonts w:ascii="Arial" w:hAnsi="Arial" w:cs="Arial"/>
          <w:sz w:val="24"/>
          <w:szCs w:val="24"/>
          <w:lang w:val="es-PR"/>
        </w:rPr>
      </w:pPr>
      <w:r w:rsidRPr="00C243C9">
        <w:rPr>
          <w:rFonts w:ascii="Arial" w:hAnsi="Arial" w:cs="Arial"/>
          <w:sz w:val="24"/>
          <w:szCs w:val="24"/>
          <w:lang w:val="es-PR"/>
        </w:rPr>
        <w:t xml:space="preserve">•Evaluar </w:t>
      </w:r>
      <w:r w:rsidR="00242E20">
        <w:rPr>
          <w:rFonts w:ascii="Arial" w:hAnsi="Arial" w:cs="Arial"/>
          <w:sz w:val="24"/>
          <w:szCs w:val="24"/>
          <w:lang w:val="es-PR"/>
        </w:rPr>
        <w:t>y</w:t>
      </w:r>
      <w:r w:rsidRPr="00C243C9">
        <w:rPr>
          <w:rFonts w:ascii="Arial" w:hAnsi="Arial" w:cs="Arial"/>
          <w:sz w:val="24"/>
          <w:szCs w:val="24"/>
          <w:lang w:val="es-PR"/>
        </w:rPr>
        <w:t xml:space="preserve"> recomendar venta de remanentes de terrenos</w:t>
      </w:r>
    </w:p>
    <w:p w:rsidR="0085709C" w:rsidRPr="00C243C9" w:rsidRDefault="0085709C" w:rsidP="0085709C">
      <w:pPr>
        <w:pStyle w:val="NoSpacing"/>
        <w:jc w:val="both"/>
        <w:rPr>
          <w:rFonts w:ascii="Arial" w:hAnsi="Arial" w:cs="Arial"/>
          <w:sz w:val="24"/>
          <w:szCs w:val="24"/>
          <w:lang w:val="es-PR"/>
        </w:rPr>
      </w:pPr>
      <w:r w:rsidRPr="00C243C9">
        <w:rPr>
          <w:rFonts w:ascii="Arial" w:hAnsi="Arial" w:cs="Arial"/>
          <w:sz w:val="24"/>
          <w:szCs w:val="24"/>
          <w:lang w:val="es-PR"/>
        </w:rPr>
        <w:t xml:space="preserve">•Evaluar </w:t>
      </w:r>
      <w:r w:rsidRPr="00242E20">
        <w:rPr>
          <w:rFonts w:ascii="Arial" w:hAnsi="Arial" w:cs="Arial"/>
          <w:sz w:val="24"/>
          <w:szCs w:val="24"/>
          <w:lang w:val="es-PR"/>
        </w:rPr>
        <w:t>y</w:t>
      </w:r>
      <w:r w:rsidRPr="00C243C9">
        <w:rPr>
          <w:rFonts w:ascii="Arial" w:hAnsi="Arial" w:cs="Arial"/>
          <w:color w:val="FF0000"/>
          <w:sz w:val="24"/>
          <w:szCs w:val="24"/>
          <w:lang w:val="es-PR"/>
        </w:rPr>
        <w:t xml:space="preserve"> </w:t>
      </w:r>
      <w:r w:rsidRPr="00C243C9">
        <w:rPr>
          <w:rFonts w:ascii="Arial" w:hAnsi="Arial" w:cs="Arial"/>
          <w:sz w:val="24"/>
          <w:szCs w:val="24"/>
          <w:lang w:val="es-PR"/>
        </w:rPr>
        <w:t>recomendar solicitudes de incentivos agrícolas.</w:t>
      </w:r>
    </w:p>
    <w:p w:rsidR="0085709C" w:rsidRPr="00C243C9" w:rsidRDefault="0085709C" w:rsidP="0085709C">
      <w:pPr>
        <w:pStyle w:val="NoSpacing"/>
        <w:jc w:val="both"/>
        <w:rPr>
          <w:rFonts w:ascii="Arial" w:hAnsi="Arial" w:cs="Arial"/>
          <w:sz w:val="24"/>
          <w:szCs w:val="24"/>
          <w:lang w:val="es-PR"/>
        </w:rPr>
      </w:pPr>
      <w:r w:rsidRPr="00C243C9">
        <w:rPr>
          <w:rFonts w:ascii="Arial" w:hAnsi="Arial" w:cs="Arial"/>
          <w:sz w:val="24"/>
          <w:szCs w:val="24"/>
          <w:lang w:val="es-PR"/>
        </w:rPr>
        <w:t xml:space="preserve">•Seguimiento </w:t>
      </w:r>
      <w:r w:rsidRPr="00242E20">
        <w:rPr>
          <w:rFonts w:ascii="Arial" w:hAnsi="Arial" w:cs="Arial"/>
          <w:sz w:val="24"/>
          <w:szCs w:val="24"/>
          <w:lang w:val="es-PR"/>
        </w:rPr>
        <w:t>y</w:t>
      </w:r>
      <w:r w:rsidRPr="00C243C9">
        <w:rPr>
          <w:rFonts w:ascii="Arial" w:hAnsi="Arial" w:cs="Arial"/>
          <w:sz w:val="24"/>
          <w:szCs w:val="24"/>
          <w:lang w:val="es-PR"/>
        </w:rPr>
        <w:t xml:space="preserve"> certificación de prácticas agrícolas incentivadas por el Departamento de Agricultura.</w:t>
      </w:r>
    </w:p>
    <w:p w:rsidR="0085709C" w:rsidRPr="00C243C9" w:rsidRDefault="0085709C" w:rsidP="0085709C">
      <w:pPr>
        <w:pStyle w:val="NoSpacing"/>
        <w:jc w:val="both"/>
        <w:rPr>
          <w:rFonts w:ascii="Arial" w:hAnsi="Arial" w:cs="Arial"/>
          <w:sz w:val="24"/>
          <w:szCs w:val="24"/>
          <w:lang w:val="es-PR"/>
        </w:rPr>
      </w:pPr>
      <w:r w:rsidRPr="00C243C9">
        <w:rPr>
          <w:rFonts w:ascii="Arial" w:hAnsi="Arial" w:cs="Arial"/>
          <w:sz w:val="24"/>
          <w:szCs w:val="24"/>
          <w:lang w:val="es-PR"/>
        </w:rPr>
        <w:t xml:space="preserve">•Evaluar </w:t>
      </w:r>
      <w:r w:rsidRPr="00242E20">
        <w:rPr>
          <w:rFonts w:ascii="Arial" w:hAnsi="Arial" w:cs="Arial"/>
          <w:sz w:val="24"/>
          <w:szCs w:val="24"/>
          <w:lang w:val="es-PR"/>
        </w:rPr>
        <w:t>y</w:t>
      </w:r>
      <w:r w:rsidRPr="00C243C9">
        <w:rPr>
          <w:rFonts w:ascii="Arial" w:hAnsi="Arial" w:cs="Arial"/>
          <w:color w:val="FF0000"/>
          <w:sz w:val="24"/>
          <w:szCs w:val="24"/>
          <w:lang w:val="es-PR"/>
        </w:rPr>
        <w:t xml:space="preserve"> </w:t>
      </w:r>
      <w:r w:rsidRPr="00C243C9">
        <w:rPr>
          <w:rFonts w:ascii="Arial" w:hAnsi="Arial" w:cs="Arial"/>
          <w:sz w:val="24"/>
          <w:szCs w:val="24"/>
          <w:lang w:val="es-PR"/>
        </w:rPr>
        <w:t>otorgar permiso de construcción de vivienda.</w:t>
      </w:r>
    </w:p>
    <w:p w:rsidR="0085709C" w:rsidRPr="00C243C9" w:rsidRDefault="0085709C" w:rsidP="0085709C">
      <w:pPr>
        <w:pStyle w:val="NoSpacing"/>
        <w:jc w:val="both"/>
        <w:rPr>
          <w:rFonts w:ascii="Arial" w:hAnsi="Arial" w:cs="Arial"/>
          <w:sz w:val="24"/>
          <w:szCs w:val="24"/>
          <w:lang w:val="es-PR"/>
        </w:rPr>
      </w:pPr>
      <w:r w:rsidRPr="00C243C9">
        <w:rPr>
          <w:rFonts w:ascii="Arial" w:hAnsi="Arial" w:cs="Arial"/>
          <w:sz w:val="24"/>
          <w:szCs w:val="24"/>
          <w:lang w:val="es-PR"/>
        </w:rPr>
        <w:t>•Presentar las Escrituras al Registro de la Propiedad y seguimiento pertinente para su inscripción.</w:t>
      </w:r>
    </w:p>
    <w:p w:rsidR="009F1791" w:rsidRDefault="009F1791" w:rsidP="0085709C">
      <w:pPr>
        <w:jc w:val="both"/>
        <w:rPr>
          <w:rFonts w:ascii="Arial" w:hAnsi="Arial" w:cs="Arial"/>
          <w:lang w:val="es-PR"/>
        </w:rPr>
      </w:pPr>
    </w:p>
    <w:p w:rsidR="00B1541C" w:rsidRPr="00C243C9" w:rsidRDefault="00B1541C" w:rsidP="0085709C">
      <w:pPr>
        <w:jc w:val="both"/>
        <w:rPr>
          <w:rFonts w:ascii="Arial" w:hAnsi="Arial" w:cs="Arial"/>
          <w:lang w:val="es-PR"/>
        </w:rPr>
      </w:pPr>
    </w:p>
    <w:p w:rsidR="0085709C" w:rsidRPr="00C243C9" w:rsidRDefault="0085709C" w:rsidP="0085709C">
      <w:pPr>
        <w:jc w:val="both"/>
        <w:rPr>
          <w:rFonts w:ascii="Arial" w:hAnsi="Arial" w:cs="Arial"/>
          <w:b/>
          <w:i/>
          <w:lang w:val="es-PR"/>
        </w:rPr>
      </w:pPr>
      <w:r w:rsidRPr="00C243C9">
        <w:rPr>
          <w:rFonts w:ascii="Arial" w:hAnsi="Arial" w:cs="Arial"/>
          <w:b/>
          <w:i/>
          <w:lang w:val="es-PR"/>
        </w:rPr>
        <w:t xml:space="preserve">OFICINA DE ASUNTOS AMBIENTALES  </w:t>
      </w:r>
    </w:p>
    <w:p w:rsidR="0085709C" w:rsidRPr="00C243C9" w:rsidRDefault="0085709C" w:rsidP="0085709C">
      <w:pPr>
        <w:jc w:val="both"/>
        <w:rPr>
          <w:rFonts w:ascii="Arial" w:hAnsi="Arial" w:cs="Arial"/>
          <w:lang w:val="es-PR"/>
        </w:rPr>
      </w:pPr>
    </w:p>
    <w:p w:rsidR="0085709C" w:rsidRDefault="0085709C" w:rsidP="0085709C">
      <w:pPr>
        <w:jc w:val="both"/>
        <w:rPr>
          <w:rFonts w:ascii="Arial" w:hAnsi="Arial" w:cs="Arial"/>
          <w:lang w:val="es-PR"/>
        </w:rPr>
      </w:pPr>
      <w:r w:rsidRPr="00C243C9">
        <w:rPr>
          <w:rFonts w:ascii="Arial" w:hAnsi="Arial" w:cs="Arial"/>
          <w:lang w:val="es-PR"/>
        </w:rPr>
        <w:t>La Autoridad ha enfrentado por años diversos problemas ambientales, específicam</w:t>
      </w:r>
      <w:r>
        <w:rPr>
          <w:rFonts w:ascii="Arial" w:hAnsi="Arial" w:cs="Arial"/>
          <w:lang w:val="es-PR"/>
        </w:rPr>
        <w:t>e</w:t>
      </w:r>
      <w:r w:rsidRPr="00C243C9">
        <w:rPr>
          <w:rFonts w:ascii="Arial" w:hAnsi="Arial" w:cs="Arial"/>
          <w:lang w:val="es-PR"/>
        </w:rPr>
        <w:t xml:space="preserve">nte con la EPA lo que la </w:t>
      </w:r>
      <w:r>
        <w:rPr>
          <w:rFonts w:ascii="Arial" w:hAnsi="Arial" w:cs="Arial"/>
          <w:lang w:val="es-PR"/>
        </w:rPr>
        <w:t>h</w:t>
      </w:r>
      <w:r w:rsidRPr="00C243C9">
        <w:rPr>
          <w:rFonts w:ascii="Arial" w:hAnsi="Arial" w:cs="Arial"/>
          <w:lang w:val="es-PR"/>
        </w:rPr>
        <w:t>a obligado en incurrir en gastos m</w:t>
      </w:r>
      <w:r>
        <w:rPr>
          <w:rFonts w:ascii="Arial" w:hAnsi="Arial" w:cs="Arial"/>
          <w:lang w:val="es-PR"/>
        </w:rPr>
        <w:t xml:space="preserve">illonarios (sobre $7 millones) </w:t>
      </w:r>
      <w:r w:rsidRPr="00C243C9">
        <w:rPr>
          <w:rFonts w:ascii="Arial" w:hAnsi="Arial" w:cs="Arial"/>
          <w:lang w:val="es-PR"/>
        </w:rPr>
        <w:t xml:space="preserve">para cumplir con requerimientos de dicha agencia federal. </w:t>
      </w:r>
      <w:r>
        <w:rPr>
          <w:rFonts w:ascii="Arial" w:hAnsi="Arial" w:cs="Arial"/>
          <w:lang w:val="es-PR"/>
        </w:rPr>
        <w:t xml:space="preserve"> </w:t>
      </w:r>
      <w:r w:rsidRPr="00C243C9">
        <w:rPr>
          <w:rFonts w:ascii="Arial" w:hAnsi="Arial" w:cs="Arial"/>
          <w:lang w:val="es-PR"/>
        </w:rPr>
        <w:t>Para trabajar con es</w:t>
      </w:r>
      <w:r>
        <w:rPr>
          <w:rFonts w:ascii="Arial" w:hAnsi="Arial" w:cs="Arial"/>
          <w:lang w:val="es-PR"/>
        </w:rPr>
        <w:t>ta problemática creamos la O</w:t>
      </w:r>
      <w:r w:rsidRPr="00C243C9">
        <w:rPr>
          <w:rFonts w:ascii="Arial" w:hAnsi="Arial" w:cs="Arial"/>
          <w:lang w:val="es-PR"/>
        </w:rPr>
        <w:t>ficina de Asuntos Ambientales y reclutam</w:t>
      </w:r>
      <w:r>
        <w:rPr>
          <w:rFonts w:ascii="Arial" w:hAnsi="Arial" w:cs="Arial"/>
          <w:lang w:val="es-PR"/>
        </w:rPr>
        <w:t>o</w:t>
      </w:r>
      <w:r w:rsidRPr="00C243C9">
        <w:rPr>
          <w:rFonts w:ascii="Arial" w:hAnsi="Arial" w:cs="Arial"/>
          <w:lang w:val="es-PR"/>
        </w:rPr>
        <w:t xml:space="preserve">s un abogado especialista en esta área. </w:t>
      </w:r>
      <w:r>
        <w:rPr>
          <w:rFonts w:ascii="Arial" w:hAnsi="Arial" w:cs="Arial"/>
          <w:lang w:val="es-PR"/>
        </w:rPr>
        <w:t xml:space="preserve"> </w:t>
      </w:r>
      <w:r w:rsidRPr="00C243C9">
        <w:rPr>
          <w:rFonts w:ascii="Arial" w:hAnsi="Arial" w:cs="Arial"/>
          <w:lang w:val="es-PR"/>
        </w:rPr>
        <w:t>De esta manera minimizamos la contratación externa la cual le costaba a la Autoridad de Tierras cientos de miles de dólares al año.</w:t>
      </w:r>
    </w:p>
    <w:p w:rsidR="0085709C" w:rsidRDefault="0085709C" w:rsidP="0085709C">
      <w:pPr>
        <w:jc w:val="both"/>
        <w:rPr>
          <w:rFonts w:ascii="Arial" w:hAnsi="Arial" w:cs="Arial"/>
          <w:lang w:val="es-PR"/>
        </w:rPr>
      </w:pPr>
    </w:p>
    <w:p w:rsidR="00062C25" w:rsidRPr="00C243C9" w:rsidRDefault="00062C25" w:rsidP="0085709C">
      <w:pPr>
        <w:jc w:val="both"/>
        <w:rPr>
          <w:rFonts w:ascii="Arial" w:hAnsi="Arial" w:cs="Arial"/>
          <w:lang w:val="es-PR"/>
        </w:rPr>
      </w:pPr>
    </w:p>
    <w:p w:rsidR="0085709C" w:rsidRPr="00C243C9" w:rsidRDefault="0085709C" w:rsidP="0085709C">
      <w:pPr>
        <w:jc w:val="both"/>
        <w:rPr>
          <w:rFonts w:ascii="Arial" w:hAnsi="Arial" w:cs="Arial"/>
          <w:lang w:val="es-PR"/>
        </w:rPr>
      </w:pPr>
      <w:r w:rsidRPr="00C243C9">
        <w:rPr>
          <w:rFonts w:ascii="Arial" w:hAnsi="Arial" w:cs="Arial"/>
          <w:lang w:val="es-PR"/>
        </w:rPr>
        <w:t>Los trabajos relacionados a esta división y el estatus de los mismos son los siguie</w:t>
      </w:r>
      <w:r>
        <w:rPr>
          <w:rFonts w:ascii="Arial" w:hAnsi="Arial" w:cs="Arial"/>
          <w:lang w:val="es-PR"/>
        </w:rPr>
        <w:t>n</w:t>
      </w:r>
      <w:r w:rsidRPr="00C243C9">
        <w:rPr>
          <w:rFonts w:ascii="Arial" w:hAnsi="Arial" w:cs="Arial"/>
          <w:lang w:val="es-PR"/>
        </w:rPr>
        <w:t>tes:</w:t>
      </w:r>
    </w:p>
    <w:p w:rsidR="0085709C" w:rsidRPr="00137CA5" w:rsidRDefault="0085709C" w:rsidP="0085709C">
      <w:pPr>
        <w:jc w:val="both"/>
        <w:rPr>
          <w:rFonts w:ascii="Arial" w:hAnsi="Arial" w:cs="Arial"/>
          <w:lang w:val="es-PR"/>
        </w:rPr>
      </w:pPr>
    </w:p>
    <w:p w:rsidR="0085709C" w:rsidRDefault="0085709C" w:rsidP="0085709C">
      <w:pPr>
        <w:pStyle w:val="ListParagraph"/>
        <w:numPr>
          <w:ilvl w:val="0"/>
          <w:numId w:val="9"/>
        </w:numPr>
        <w:spacing w:before="120" w:after="120"/>
        <w:ind w:left="720" w:right="720"/>
        <w:contextualSpacing w:val="0"/>
        <w:jc w:val="both"/>
        <w:rPr>
          <w:rFonts w:ascii="Arial" w:hAnsi="Arial" w:cs="Arial"/>
          <w:lang w:val="es-ES"/>
        </w:rPr>
      </w:pPr>
      <w:r w:rsidRPr="00B50872">
        <w:rPr>
          <w:rFonts w:ascii="Arial" w:hAnsi="Arial" w:cs="Arial"/>
          <w:b/>
          <w:lang w:val="es-ES"/>
        </w:rPr>
        <w:t>Alumbrado Palmas Alta, Barceloneta</w:t>
      </w:r>
      <w:r w:rsidRPr="00B50872">
        <w:rPr>
          <w:rFonts w:ascii="Arial" w:hAnsi="Arial" w:cs="Arial"/>
          <w:lang w:val="es-ES"/>
        </w:rPr>
        <w:t xml:space="preserve">: Este caso responde a una demanda en el Tribunal Federal, Caso Civil No. 12-1311 (SCC), del Comité Pro Defensa del Ambiente de Barceloneta vs. Autoridad de Acueductos y Alcantarillados y Autoridad de Tierras, por los efectos en la comunidad ocasionados por el estado de abandono de la Estación de Bombas Narciso Dávila en el Bo. Palmas Altas de Barceloneta y de los canales de drenaje del área.  El caso se transigió por medio de un Decreto por Consentimiento mediante el cual la AAA pagó a la ATPR $60,000 para limpiar canales e instalar compuertas mareales en la Estación de Palmas Altas, de modo que se mantenga un nivel de agua apropiado que no afecte a los vecinos.  La ATPR realizó los trabajos con un sobrante de $10,000 los cuales el Tribunal Federal autorizó se invirtieran en un sistema de alumbrado en el predio para prevenir los robos y el vandalismo.  Al momento ya se realizaron todas las compras de materiales y se presentó el plan de trabajo ante la AEE.  Estamos a la espera de la aprobación de la AEE para poder instalar el sistema de alumbrado.  </w:t>
      </w:r>
    </w:p>
    <w:p w:rsidR="00062C25" w:rsidRDefault="00062C25" w:rsidP="00062C25">
      <w:pPr>
        <w:pStyle w:val="ListParagraph"/>
        <w:spacing w:before="120" w:after="120"/>
        <w:ind w:right="720"/>
        <w:contextualSpacing w:val="0"/>
        <w:jc w:val="both"/>
        <w:rPr>
          <w:rFonts w:ascii="Arial" w:hAnsi="Arial" w:cs="Arial"/>
          <w:b/>
          <w:lang w:val="es-ES"/>
        </w:rPr>
      </w:pPr>
    </w:p>
    <w:p w:rsidR="00062C25" w:rsidRPr="00B50872" w:rsidRDefault="00062C25" w:rsidP="00062C25">
      <w:pPr>
        <w:pStyle w:val="ListParagraph"/>
        <w:spacing w:before="120" w:after="120"/>
        <w:ind w:right="720"/>
        <w:contextualSpacing w:val="0"/>
        <w:jc w:val="both"/>
        <w:rPr>
          <w:rFonts w:ascii="Arial" w:hAnsi="Arial" w:cs="Arial"/>
          <w:lang w:val="es-ES"/>
        </w:rPr>
      </w:pPr>
    </w:p>
    <w:p w:rsidR="0085709C" w:rsidRDefault="0085709C" w:rsidP="0085709C">
      <w:pPr>
        <w:pStyle w:val="ListParagraph"/>
        <w:numPr>
          <w:ilvl w:val="0"/>
          <w:numId w:val="9"/>
        </w:numPr>
        <w:spacing w:before="120" w:after="120"/>
        <w:ind w:left="720" w:right="720"/>
        <w:contextualSpacing w:val="0"/>
        <w:jc w:val="both"/>
        <w:rPr>
          <w:rFonts w:ascii="Arial" w:hAnsi="Arial" w:cs="Arial"/>
          <w:lang w:val="es-ES"/>
        </w:rPr>
      </w:pPr>
      <w:r w:rsidRPr="00B50872">
        <w:rPr>
          <w:rFonts w:ascii="Arial" w:hAnsi="Arial" w:cs="Arial"/>
          <w:b/>
          <w:lang w:val="es-ES"/>
        </w:rPr>
        <w:lastRenderedPageBreak/>
        <w:t>Central Aguirre, Salinas</w:t>
      </w:r>
      <w:r w:rsidRPr="00B50872">
        <w:rPr>
          <w:rFonts w:ascii="Arial" w:hAnsi="Arial" w:cs="Arial"/>
          <w:lang w:val="es-ES"/>
        </w:rPr>
        <w:t xml:space="preserve">: La ATPR suscribió un acuerdo con </w:t>
      </w:r>
      <w:proofErr w:type="spellStart"/>
      <w:r w:rsidRPr="00B50872">
        <w:rPr>
          <w:rFonts w:ascii="Arial" w:hAnsi="Arial" w:cs="Arial"/>
          <w:lang w:val="es-ES"/>
        </w:rPr>
        <w:t>Oriany’s</w:t>
      </w:r>
      <w:proofErr w:type="spellEnd"/>
      <w:r w:rsidRPr="00B50872">
        <w:rPr>
          <w:rFonts w:ascii="Arial" w:hAnsi="Arial" w:cs="Arial"/>
          <w:lang w:val="es-ES"/>
        </w:rPr>
        <w:t xml:space="preserve"> </w:t>
      </w:r>
      <w:proofErr w:type="spellStart"/>
      <w:r w:rsidRPr="00B50872">
        <w:rPr>
          <w:rFonts w:ascii="Arial" w:hAnsi="Arial" w:cs="Arial"/>
          <w:lang w:val="es-ES"/>
        </w:rPr>
        <w:t>Contractor</w:t>
      </w:r>
      <w:proofErr w:type="spellEnd"/>
      <w:r w:rsidRPr="00B50872">
        <w:rPr>
          <w:rFonts w:ascii="Arial" w:hAnsi="Arial" w:cs="Arial"/>
          <w:lang w:val="es-ES"/>
        </w:rPr>
        <w:t>, Corp. para la venta de todo el material excedente en la forma de acero en la antigua Central Aguirre en Salinas.  Luego de 2 años de trámites administrativos, el contratista no pudo obtener el permiso de demolición necesario para poder extraer los metales por lo que presentó una querella para recobrar el dinero invertido durante los dos años que ocupó la central.  El caso se encuentra ante un proceso de arbitraje.</w:t>
      </w:r>
    </w:p>
    <w:p w:rsidR="00062C25" w:rsidRPr="00B50872" w:rsidRDefault="00062C25" w:rsidP="00062C25">
      <w:pPr>
        <w:pStyle w:val="ListParagraph"/>
        <w:spacing w:before="120" w:after="120"/>
        <w:ind w:right="720"/>
        <w:contextualSpacing w:val="0"/>
        <w:jc w:val="both"/>
        <w:rPr>
          <w:rFonts w:ascii="Arial" w:hAnsi="Arial" w:cs="Arial"/>
          <w:lang w:val="es-ES"/>
        </w:rPr>
      </w:pPr>
    </w:p>
    <w:p w:rsidR="0085709C" w:rsidRDefault="0085709C" w:rsidP="0085709C">
      <w:pPr>
        <w:pStyle w:val="ListParagraph"/>
        <w:numPr>
          <w:ilvl w:val="0"/>
          <w:numId w:val="9"/>
        </w:numPr>
        <w:spacing w:before="120" w:after="120"/>
        <w:ind w:left="720" w:right="720"/>
        <w:contextualSpacing w:val="0"/>
        <w:jc w:val="both"/>
        <w:rPr>
          <w:rFonts w:ascii="Arial" w:hAnsi="Arial" w:cs="Arial"/>
          <w:lang w:val="es-ES"/>
        </w:rPr>
      </w:pPr>
      <w:r w:rsidRPr="00B50872">
        <w:rPr>
          <w:rFonts w:ascii="Arial" w:hAnsi="Arial" w:cs="Arial"/>
          <w:b/>
          <w:lang w:val="es-ES"/>
        </w:rPr>
        <w:t>Terreno Barrio Florida, Vieques</w:t>
      </w:r>
      <w:r w:rsidRPr="00B50872">
        <w:rPr>
          <w:rFonts w:ascii="Arial" w:hAnsi="Arial" w:cs="Arial"/>
          <w:lang w:val="es-ES"/>
        </w:rPr>
        <w:t xml:space="preserve">: En 1968 la ATPR y PRIDCO acordaron la venta de un predio de unas 12 cuerdas en el Bo. Florida de Vieques.  La JP aprobó la venta mediante </w:t>
      </w:r>
      <w:r w:rsidR="00242E20">
        <w:rPr>
          <w:rFonts w:ascii="Arial" w:hAnsi="Arial" w:cs="Arial"/>
          <w:lang w:val="es-ES"/>
        </w:rPr>
        <w:t>R</w:t>
      </w:r>
      <w:r w:rsidRPr="00B50872">
        <w:rPr>
          <w:rFonts w:ascii="Arial" w:hAnsi="Arial" w:cs="Arial"/>
          <w:lang w:val="es-ES"/>
        </w:rPr>
        <w:t xml:space="preserve">esolución y PRIDCO ha venido ocupando el predio desde entonces, pero al parecer PRIDCO no pagó a la ATPR ni otorgó la escritura.  Para poder finiquitar el traspaso, la ATPR acordó honrar el precio de venta original. </w:t>
      </w:r>
      <w:r>
        <w:rPr>
          <w:rFonts w:ascii="Arial" w:hAnsi="Arial" w:cs="Arial"/>
          <w:lang w:val="es-ES"/>
        </w:rPr>
        <w:t xml:space="preserve"> </w:t>
      </w:r>
      <w:r w:rsidRPr="00B50872">
        <w:rPr>
          <w:rFonts w:ascii="Arial" w:hAnsi="Arial" w:cs="Arial"/>
          <w:lang w:val="es-ES"/>
        </w:rPr>
        <w:t xml:space="preserve">PRIDCO es responsable de hacer la escritura. </w:t>
      </w:r>
      <w:r>
        <w:rPr>
          <w:rFonts w:ascii="Arial" w:hAnsi="Arial" w:cs="Arial"/>
          <w:lang w:val="es-ES"/>
        </w:rPr>
        <w:t xml:space="preserve"> </w:t>
      </w:r>
      <w:r w:rsidRPr="00B50872">
        <w:rPr>
          <w:rFonts w:ascii="Arial" w:hAnsi="Arial" w:cs="Arial"/>
          <w:lang w:val="es-ES"/>
        </w:rPr>
        <w:t xml:space="preserve">Nos encontramos evaluando si es necesario volver a llevar el caso ante la JP o si se puede proceder a otorgar la escritura con la Resolución original de la JP. </w:t>
      </w:r>
    </w:p>
    <w:p w:rsidR="00062C25" w:rsidRPr="00B50872" w:rsidRDefault="00062C25" w:rsidP="00062C25">
      <w:pPr>
        <w:pStyle w:val="ListParagraph"/>
        <w:spacing w:before="120" w:after="120"/>
        <w:ind w:right="720"/>
        <w:contextualSpacing w:val="0"/>
        <w:jc w:val="both"/>
        <w:rPr>
          <w:rFonts w:ascii="Arial" w:hAnsi="Arial" w:cs="Arial"/>
          <w:lang w:val="es-ES"/>
        </w:rPr>
      </w:pPr>
    </w:p>
    <w:p w:rsidR="0085709C" w:rsidRDefault="0085709C" w:rsidP="0085709C">
      <w:pPr>
        <w:pStyle w:val="ListParagraph"/>
        <w:numPr>
          <w:ilvl w:val="0"/>
          <w:numId w:val="9"/>
        </w:numPr>
        <w:spacing w:before="120"/>
        <w:ind w:left="720" w:right="720"/>
        <w:contextualSpacing w:val="0"/>
        <w:jc w:val="both"/>
        <w:rPr>
          <w:rFonts w:ascii="Arial" w:hAnsi="Arial" w:cs="Arial"/>
          <w:lang w:val="es-PR"/>
        </w:rPr>
      </w:pPr>
      <w:r w:rsidRPr="00B50872">
        <w:rPr>
          <w:rFonts w:ascii="Arial" w:hAnsi="Arial" w:cs="Arial"/>
          <w:b/>
          <w:lang w:val="es-ES"/>
        </w:rPr>
        <w:t>Brisas del Rosario</w:t>
      </w:r>
      <w:r w:rsidRPr="00B50872">
        <w:rPr>
          <w:rFonts w:ascii="Arial" w:hAnsi="Arial" w:cs="Arial"/>
          <w:lang w:val="es-ES"/>
        </w:rPr>
        <w:t xml:space="preserve">: </w:t>
      </w:r>
      <w:r w:rsidRPr="00B50872">
        <w:rPr>
          <w:rFonts w:ascii="Arial" w:hAnsi="Arial" w:cs="Arial"/>
          <w:lang w:val="es-PR"/>
        </w:rPr>
        <w:t xml:space="preserve">Este caso es sobre el antiguo vertedero de Vega Baja que cerró operaciones en 1978 justo cuando abrió vertedero actual en la finca </w:t>
      </w:r>
      <w:proofErr w:type="spellStart"/>
      <w:r w:rsidRPr="00B50872">
        <w:rPr>
          <w:rFonts w:ascii="Arial" w:hAnsi="Arial" w:cs="Arial"/>
          <w:lang w:val="es-PR"/>
        </w:rPr>
        <w:t>Cibuco</w:t>
      </w:r>
      <w:proofErr w:type="spellEnd"/>
      <w:r w:rsidRPr="00B50872">
        <w:rPr>
          <w:rFonts w:ascii="Arial" w:hAnsi="Arial" w:cs="Arial"/>
          <w:lang w:val="es-PR"/>
        </w:rPr>
        <w:t xml:space="preserve"> en el mismo municipio.  Allí se estableció la comunidad Brisas del Rosario y resultó que los suelos tienen altas concentraciones de plomo por lo que la EPA incluyó el lugar en la lista de prioridades nacionales (NPL) bajo la Ley CERCLA (</w:t>
      </w:r>
      <w:proofErr w:type="spellStart"/>
      <w:r w:rsidRPr="00B50872">
        <w:rPr>
          <w:rFonts w:ascii="Arial" w:hAnsi="Arial" w:cs="Arial"/>
          <w:lang w:val="es-PR"/>
        </w:rPr>
        <w:t>Superfondo</w:t>
      </w:r>
      <w:proofErr w:type="spellEnd"/>
      <w:r w:rsidRPr="00B50872">
        <w:rPr>
          <w:rFonts w:ascii="Arial" w:hAnsi="Arial" w:cs="Arial"/>
          <w:lang w:val="es-PR"/>
        </w:rPr>
        <w:t xml:space="preserve">). </w:t>
      </w:r>
      <w:r>
        <w:rPr>
          <w:rFonts w:ascii="Arial" w:hAnsi="Arial" w:cs="Arial"/>
          <w:lang w:val="es-PR"/>
        </w:rPr>
        <w:t xml:space="preserve"> </w:t>
      </w:r>
      <w:r w:rsidRPr="00B50872">
        <w:rPr>
          <w:rFonts w:ascii="Arial" w:hAnsi="Arial" w:cs="Arial"/>
          <w:lang w:val="es-PR"/>
        </w:rPr>
        <w:t xml:space="preserve">El caso llegó al Tribunal Federal y allí se emitió una Orden por Consentimiento mediante la cual la ATPR deberá pagar $1.3 millones en una cuenta PLICA.  La situación económica de la AT no le ha permitido cumplir con los pagos según estos fueron establecidos en la Orden, por lo cual la ATPR negoció con la EPA un plan de pago a razón de $10,000 mensuales. </w:t>
      </w:r>
    </w:p>
    <w:p w:rsidR="00062C25" w:rsidRPr="00B50872" w:rsidRDefault="00062C25" w:rsidP="00062C25">
      <w:pPr>
        <w:pStyle w:val="ListParagraph"/>
        <w:spacing w:before="120"/>
        <w:ind w:right="720"/>
        <w:contextualSpacing w:val="0"/>
        <w:jc w:val="both"/>
        <w:rPr>
          <w:rFonts w:ascii="Arial" w:hAnsi="Arial" w:cs="Arial"/>
          <w:lang w:val="es-PR"/>
        </w:rPr>
      </w:pPr>
    </w:p>
    <w:p w:rsidR="0085709C" w:rsidRDefault="0085709C" w:rsidP="0085709C">
      <w:pPr>
        <w:pStyle w:val="ListParagraph"/>
        <w:numPr>
          <w:ilvl w:val="0"/>
          <w:numId w:val="9"/>
        </w:numPr>
        <w:spacing w:before="120" w:after="120"/>
        <w:ind w:left="720" w:right="720"/>
        <w:contextualSpacing w:val="0"/>
        <w:jc w:val="both"/>
        <w:rPr>
          <w:rFonts w:ascii="Arial" w:hAnsi="Arial" w:cs="Arial"/>
          <w:lang w:val="es-ES"/>
        </w:rPr>
      </w:pPr>
      <w:r w:rsidRPr="00B50872">
        <w:rPr>
          <w:rFonts w:ascii="Arial" w:hAnsi="Arial" w:cs="Arial"/>
          <w:b/>
          <w:lang w:val="es-ES"/>
        </w:rPr>
        <w:t>Palo Alto, Manatí (</w:t>
      </w:r>
      <w:proofErr w:type="spellStart"/>
      <w:r w:rsidRPr="00B50872">
        <w:rPr>
          <w:rFonts w:ascii="Arial" w:hAnsi="Arial" w:cs="Arial"/>
          <w:b/>
          <w:lang w:val="es-ES"/>
        </w:rPr>
        <w:t>Pesticide</w:t>
      </w:r>
      <w:proofErr w:type="spellEnd"/>
      <w:r w:rsidRPr="00B50872">
        <w:rPr>
          <w:rFonts w:ascii="Arial" w:hAnsi="Arial" w:cs="Arial"/>
          <w:b/>
          <w:lang w:val="es-ES"/>
        </w:rPr>
        <w:t xml:space="preserve"> </w:t>
      </w:r>
      <w:proofErr w:type="spellStart"/>
      <w:r w:rsidRPr="00B50872">
        <w:rPr>
          <w:rFonts w:ascii="Arial" w:hAnsi="Arial" w:cs="Arial"/>
          <w:b/>
          <w:lang w:val="es-ES"/>
        </w:rPr>
        <w:t>Warehouse</w:t>
      </w:r>
      <w:proofErr w:type="spellEnd"/>
      <w:r w:rsidRPr="00B50872">
        <w:rPr>
          <w:rFonts w:ascii="Arial" w:hAnsi="Arial" w:cs="Arial"/>
          <w:b/>
          <w:lang w:val="es-ES"/>
        </w:rPr>
        <w:t xml:space="preserve"> III)</w:t>
      </w:r>
      <w:r w:rsidRPr="00B50872">
        <w:rPr>
          <w:rFonts w:ascii="Arial" w:hAnsi="Arial" w:cs="Arial"/>
          <w:lang w:val="es-ES"/>
        </w:rPr>
        <w:t>: Este caso trata sobre un predio de 2 cuerdas que se utilizaba como almacén de pesticidas del Programa de Piñas de la ATPR entre las décadas del 60 y 90.  La contaminación producto de la operación la logró que la EPA lo incluyera en la lista de prioridades nacionales (NPL) bajo la Ley CERCLA (</w:t>
      </w:r>
      <w:proofErr w:type="spellStart"/>
      <w:r w:rsidRPr="00B50872">
        <w:rPr>
          <w:rFonts w:ascii="Arial" w:hAnsi="Arial" w:cs="Arial"/>
          <w:lang w:val="es-ES"/>
        </w:rPr>
        <w:t>Superfondo</w:t>
      </w:r>
      <w:proofErr w:type="spellEnd"/>
      <w:r w:rsidRPr="00B50872">
        <w:rPr>
          <w:rFonts w:ascii="Arial" w:hAnsi="Arial" w:cs="Arial"/>
          <w:lang w:val="es-ES"/>
        </w:rPr>
        <w:t xml:space="preserve">).  Hasta el presente se han invertido sobre $3.1 millones en estudios y análisis de suelo y agua subterránea requeridos por la EPA. Las tareas </w:t>
      </w:r>
      <w:proofErr w:type="spellStart"/>
      <w:r w:rsidRPr="00B50872">
        <w:rPr>
          <w:rFonts w:ascii="Arial" w:hAnsi="Arial" w:cs="Arial"/>
          <w:lang w:val="es-ES"/>
        </w:rPr>
        <w:t>remediativas</w:t>
      </w:r>
      <w:proofErr w:type="spellEnd"/>
      <w:r w:rsidRPr="00B50872">
        <w:rPr>
          <w:rFonts w:ascii="Arial" w:hAnsi="Arial" w:cs="Arial"/>
          <w:lang w:val="es-ES"/>
        </w:rPr>
        <w:t xml:space="preserve">, es decir, de descontaminación y limpieza aún no han comenzado.  Al presente ya se culminaron las tareas investigativas y la EPA emitió un record de decisión (ROD) con medidas </w:t>
      </w:r>
      <w:proofErr w:type="spellStart"/>
      <w:r w:rsidRPr="00B50872">
        <w:rPr>
          <w:rFonts w:ascii="Arial" w:hAnsi="Arial" w:cs="Arial"/>
          <w:lang w:val="es-ES"/>
        </w:rPr>
        <w:t>remediativas</w:t>
      </w:r>
      <w:proofErr w:type="spellEnd"/>
      <w:r w:rsidRPr="00B50872">
        <w:rPr>
          <w:rFonts w:ascii="Arial" w:hAnsi="Arial" w:cs="Arial"/>
          <w:lang w:val="es-ES"/>
        </w:rPr>
        <w:t xml:space="preserve">.  No obstante, la ATPR no cuenta con el capital para seguir costeando este proyecto por lo que la EPA asumió las tareas de limpieza.  Es posible que en el futuro esta agencia federal quiera recuperar de la ATPR sus gastos de limpieza. </w:t>
      </w:r>
    </w:p>
    <w:p w:rsidR="00062C25" w:rsidRPr="00062C25" w:rsidRDefault="00062C25" w:rsidP="00062C25">
      <w:pPr>
        <w:spacing w:before="120" w:after="120"/>
        <w:ind w:right="720"/>
        <w:jc w:val="both"/>
        <w:rPr>
          <w:rFonts w:ascii="Arial" w:hAnsi="Arial" w:cs="Arial"/>
          <w:lang w:val="es-ES"/>
        </w:rPr>
      </w:pPr>
    </w:p>
    <w:p w:rsidR="0085709C" w:rsidRPr="00062C25" w:rsidRDefault="0085709C" w:rsidP="0085709C">
      <w:pPr>
        <w:pStyle w:val="ListParagraph"/>
        <w:numPr>
          <w:ilvl w:val="0"/>
          <w:numId w:val="9"/>
        </w:numPr>
        <w:spacing w:before="120" w:after="120"/>
        <w:ind w:left="720" w:right="720"/>
        <w:contextualSpacing w:val="0"/>
        <w:jc w:val="both"/>
        <w:rPr>
          <w:rFonts w:ascii="Arial" w:hAnsi="Arial" w:cs="Arial"/>
          <w:lang w:val="es-ES"/>
        </w:rPr>
      </w:pPr>
      <w:proofErr w:type="spellStart"/>
      <w:r w:rsidRPr="00B50872">
        <w:rPr>
          <w:rFonts w:ascii="Arial" w:hAnsi="Arial" w:cs="Arial"/>
          <w:b/>
          <w:lang w:val="es-ES"/>
        </w:rPr>
        <w:t>Walcott</w:t>
      </w:r>
      <w:proofErr w:type="spellEnd"/>
      <w:r w:rsidRPr="00B50872">
        <w:rPr>
          <w:rFonts w:ascii="Arial" w:hAnsi="Arial" w:cs="Arial"/>
          <w:b/>
          <w:lang w:val="es-ES"/>
        </w:rPr>
        <w:t>, Arecibo (</w:t>
      </w:r>
      <w:proofErr w:type="spellStart"/>
      <w:r w:rsidRPr="00B50872">
        <w:rPr>
          <w:rFonts w:ascii="Arial" w:hAnsi="Arial" w:cs="Arial"/>
          <w:b/>
          <w:lang w:val="es-ES"/>
        </w:rPr>
        <w:t>Pesticide</w:t>
      </w:r>
      <w:proofErr w:type="spellEnd"/>
      <w:r w:rsidRPr="00B50872">
        <w:rPr>
          <w:rFonts w:ascii="Arial" w:hAnsi="Arial" w:cs="Arial"/>
          <w:b/>
          <w:lang w:val="es-ES"/>
        </w:rPr>
        <w:t xml:space="preserve"> </w:t>
      </w:r>
      <w:proofErr w:type="spellStart"/>
      <w:r w:rsidRPr="00B50872">
        <w:rPr>
          <w:rFonts w:ascii="Arial" w:hAnsi="Arial" w:cs="Arial"/>
          <w:b/>
          <w:lang w:val="es-ES"/>
        </w:rPr>
        <w:t>Warehouse</w:t>
      </w:r>
      <w:proofErr w:type="spellEnd"/>
      <w:r w:rsidRPr="00B50872">
        <w:rPr>
          <w:rFonts w:ascii="Arial" w:hAnsi="Arial" w:cs="Arial"/>
          <w:b/>
          <w:lang w:val="es-ES"/>
        </w:rPr>
        <w:t xml:space="preserve"> I):</w:t>
      </w:r>
      <w:r w:rsidRPr="00B50872">
        <w:rPr>
          <w:rFonts w:ascii="Arial" w:hAnsi="Arial" w:cs="Arial"/>
          <w:lang w:val="es-ES"/>
        </w:rPr>
        <w:t xml:space="preserve"> </w:t>
      </w:r>
      <w:r w:rsidRPr="00B50872">
        <w:rPr>
          <w:rFonts w:ascii="Arial" w:hAnsi="Arial" w:cs="Arial"/>
          <w:lang w:val="es-PR"/>
        </w:rPr>
        <w:t>Este caso es similar a Palo Alto, un almacén de pesticidas y abonos que se utilizó durante el Programa de Piñas, pero en una etapa bien preliminar.  Aún no comienzan los estudios y análisis de suelos y agua subterránea.  Al igual que en Palo Alto, la ATPR no cuenta con los fondos para llevar a cabo esta limpieza, por lo que la EPA ya informó que se apresta a realizar las labores ella misma.</w:t>
      </w:r>
    </w:p>
    <w:p w:rsidR="00062C25" w:rsidRPr="00B50872" w:rsidRDefault="00062C25" w:rsidP="00062C25">
      <w:pPr>
        <w:pStyle w:val="ListParagraph"/>
        <w:spacing w:before="120" w:after="120"/>
        <w:ind w:right="720"/>
        <w:contextualSpacing w:val="0"/>
        <w:jc w:val="both"/>
        <w:rPr>
          <w:rFonts w:ascii="Arial" w:hAnsi="Arial" w:cs="Arial"/>
          <w:lang w:val="es-ES"/>
        </w:rPr>
      </w:pPr>
    </w:p>
    <w:p w:rsidR="0085709C" w:rsidRDefault="0085709C" w:rsidP="0085709C">
      <w:pPr>
        <w:pStyle w:val="ListParagraph"/>
        <w:numPr>
          <w:ilvl w:val="0"/>
          <w:numId w:val="9"/>
        </w:numPr>
        <w:spacing w:before="120" w:after="120"/>
        <w:ind w:left="720" w:right="720"/>
        <w:contextualSpacing w:val="0"/>
        <w:jc w:val="both"/>
        <w:rPr>
          <w:rFonts w:ascii="Arial" w:hAnsi="Arial" w:cs="Arial"/>
          <w:lang w:val="es-ES"/>
        </w:rPr>
      </w:pPr>
      <w:r w:rsidRPr="00B50872">
        <w:rPr>
          <w:rFonts w:ascii="Arial" w:hAnsi="Arial" w:cs="Arial"/>
          <w:b/>
          <w:lang w:val="es-ES"/>
        </w:rPr>
        <w:t>Colonia Destino, Santa Isabel</w:t>
      </w:r>
      <w:r w:rsidRPr="00B50872">
        <w:rPr>
          <w:rFonts w:ascii="Arial" w:hAnsi="Arial" w:cs="Arial"/>
          <w:lang w:val="es-ES"/>
        </w:rPr>
        <w:t>: Este es un caso administrativo ante la JCA por unos tanques soterrados que fueron removidos hace más de una década pero que al removerse no se culminó con el trámite de cierre según ordena la JCA.  A requerimiento de la JCA, en el 2016 la ATPR sometió ante dicha agencia un plan de trabajo para finalizar el trámite de cierre el cual fue aprobado.  Actualmente nos encontramos en la etapa de identificar contratistas que sometan cotizaciones para implementar plan de trabajo aprobado por JCA.</w:t>
      </w:r>
    </w:p>
    <w:p w:rsidR="00062C25" w:rsidRPr="00B50872" w:rsidRDefault="00062C25" w:rsidP="00062C25">
      <w:pPr>
        <w:pStyle w:val="ListParagraph"/>
        <w:spacing w:before="120" w:after="120"/>
        <w:ind w:right="720"/>
        <w:contextualSpacing w:val="0"/>
        <w:jc w:val="both"/>
        <w:rPr>
          <w:rFonts w:ascii="Arial" w:hAnsi="Arial" w:cs="Arial"/>
          <w:lang w:val="es-ES"/>
        </w:rPr>
      </w:pPr>
    </w:p>
    <w:p w:rsidR="0085709C" w:rsidRDefault="0085709C" w:rsidP="0085709C">
      <w:pPr>
        <w:pStyle w:val="ListParagraph"/>
        <w:numPr>
          <w:ilvl w:val="0"/>
          <w:numId w:val="9"/>
        </w:numPr>
        <w:spacing w:before="120" w:after="120"/>
        <w:ind w:left="720" w:right="720"/>
        <w:contextualSpacing w:val="0"/>
        <w:jc w:val="both"/>
        <w:rPr>
          <w:rFonts w:ascii="Arial" w:hAnsi="Arial" w:cs="Arial"/>
          <w:lang w:val="es-ES"/>
        </w:rPr>
      </w:pPr>
      <w:r w:rsidRPr="00B50872">
        <w:rPr>
          <w:rFonts w:ascii="Arial" w:hAnsi="Arial" w:cs="Arial"/>
          <w:b/>
          <w:lang w:val="es-ES"/>
        </w:rPr>
        <w:t xml:space="preserve">Finca María Antonia, </w:t>
      </w:r>
      <w:proofErr w:type="spellStart"/>
      <w:r w:rsidRPr="00B50872">
        <w:rPr>
          <w:rFonts w:ascii="Arial" w:hAnsi="Arial" w:cs="Arial"/>
          <w:b/>
          <w:lang w:val="es-ES"/>
        </w:rPr>
        <w:t>Guánica</w:t>
      </w:r>
      <w:proofErr w:type="spellEnd"/>
      <w:r w:rsidRPr="00B50872">
        <w:rPr>
          <w:rFonts w:ascii="Arial" w:hAnsi="Arial" w:cs="Arial"/>
          <w:lang w:val="es-ES"/>
        </w:rPr>
        <w:t xml:space="preserve">: Para la expansión del Proyecto de Arroz se limpió una porción de terreno en la finca María Antonia, el cual la EPA alega se impactaron unas 15 cuerdas de humedales.  La ATPR entiende que no se cometió tal violación.  Nos encontramos en la etapa de solicitud de información por parte de EPA.  </w:t>
      </w:r>
    </w:p>
    <w:p w:rsidR="00062C25" w:rsidRPr="00B50872" w:rsidRDefault="00062C25" w:rsidP="00062C25">
      <w:pPr>
        <w:pStyle w:val="ListParagraph"/>
        <w:spacing w:before="120" w:after="120"/>
        <w:ind w:right="720"/>
        <w:contextualSpacing w:val="0"/>
        <w:jc w:val="both"/>
        <w:rPr>
          <w:rFonts w:ascii="Arial" w:hAnsi="Arial" w:cs="Arial"/>
          <w:lang w:val="es-ES"/>
        </w:rPr>
      </w:pPr>
    </w:p>
    <w:p w:rsidR="0085709C" w:rsidRDefault="0085709C" w:rsidP="0085709C">
      <w:pPr>
        <w:pStyle w:val="ListParagraph"/>
        <w:numPr>
          <w:ilvl w:val="0"/>
          <w:numId w:val="9"/>
        </w:numPr>
        <w:spacing w:before="120" w:after="120"/>
        <w:ind w:left="720" w:right="720"/>
        <w:contextualSpacing w:val="0"/>
        <w:jc w:val="both"/>
        <w:rPr>
          <w:rFonts w:ascii="Arial" w:hAnsi="Arial" w:cs="Arial"/>
          <w:lang w:val="es-ES"/>
        </w:rPr>
      </w:pPr>
      <w:r w:rsidRPr="00B50872">
        <w:rPr>
          <w:rFonts w:ascii="Arial" w:hAnsi="Arial" w:cs="Arial"/>
          <w:b/>
          <w:lang w:val="es-ES"/>
        </w:rPr>
        <w:t xml:space="preserve">Escuela Hotelera </w:t>
      </w:r>
      <w:proofErr w:type="spellStart"/>
      <w:r w:rsidRPr="00B50872">
        <w:rPr>
          <w:rFonts w:ascii="Arial" w:hAnsi="Arial" w:cs="Arial"/>
          <w:b/>
          <w:lang w:val="es-ES"/>
        </w:rPr>
        <w:t>Guánica</w:t>
      </w:r>
      <w:proofErr w:type="spellEnd"/>
      <w:r w:rsidRPr="00B50872">
        <w:rPr>
          <w:rFonts w:ascii="Arial" w:hAnsi="Arial" w:cs="Arial"/>
          <w:lang w:val="es-ES"/>
        </w:rPr>
        <w:t xml:space="preserve">: Este predio lo arrienda el Departamento de Trabajo y Recursos Humanos, quien a su vez lo subarrienda al operador del hotel al mismo tiempo que mantiene un programa de educación alterna a jóvenes del área.  El sistema sanitario consiste de un pozo séptico sumamente viejo y deteriorado, por lo cual la JCA hizo señalamientos por descargas sanitarias a la Bahía de </w:t>
      </w:r>
      <w:proofErr w:type="spellStart"/>
      <w:r w:rsidRPr="00B50872">
        <w:rPr>
          <w:rFonts w:ascii="Arial" w:hAnsi="Arial" w:cs="Arial"/>
          <w:lang w:val="es-ES"/>
        </w:rPr>
        <w:t>Guánica</w:t>
      </w:r>
      <w:proofErr w:type="spellEnd"/>
      <w:r w:rsidRPr="00B50872">
        <w:rPr>
          <w:rFonts w:ascii="Arial" w:hAnsi="Arial" w:cs="Arial"/>
          <w:lang w:val="es-ES"/>
        </w:rPr>
        <w:t xml:space="preserve">.  Corregir estas fallas cuesta alrededor de $300,000.  El operador del hotel está evaluando la viabilidad de arrendar a largo plazo el hotel a la ATPR y asumir los costos del proyecto de aguas sanitarias.  </w:t>
      </w:r>
    </w:p>
    <w:p w:rsidR="00062C25" w:rsidRPr="00B50872" w:rsidRDefault="00062C25" w:rsidP="00062C25">
      <w:pPr>
        <w:pStyle w:val="ListParagraph"/>
        <w:spacing w:before="120" w:after="120"/>
        <w:ind w:right="720"/>
        <w:contextualSpacing w:val="0"/>
        <w:jc w:val="both"/>
        <w:rPr>
          <w:rFonts w:ascii="Arial" w:hAnsi="Arial" w:cs="Arial"/>
          <w:lang w:val="es-ES"/>
        </w:rPr>
      </w:pPr>
    </w:p>
    <w:p w:rsidR="0085709C" w:rsidRDefault="0085709C" w:rsidP="0085709C">
      <w:pPr>
        <w:pStyle w:val="ListParagraph"/>
        <w:numPr>
          <w:ilvl w:val="0"/>
          <w:numId w:val="9"/>
        </w:numPr>
        <w:spacing w:before="120" w:after="120"/>
        <w:ind w:left="720" w:right="720"/>
        <w:contextualSpacing w:val="0"/>
        <w:jc w:val="both"/>
        <w:rPr>
          <w:rFonts w:ascii="Arial" w:hAnsi="Arial" w:cs="Arial"/>
          <w:lang w:val="es-ES"/>
        </w:rPr>
      </w:pPr>
      <w:r w:rsidRPr="00B50872">
        <w:rPr>
          <w:rFonts w:ascii="Arial" w:hAnsi="Arial" w:cs="Arial"/>
          <w:b/>
          <w:lang w:val="es-ES"/>
        </w:rPr>
        <w:t>Proyecto de Cocos en Finca María Antonia</w:t>
      </w:r>
      <w:r w:rsidRPr="00B50872">
        <w:rPr>
          <w:rFonts w:ascii="Arial" w:hAnsi="Arial" w:cs="Arial"/>
          <w:lang w:val="es-ES"/>
        </w:rPr>
        <w:t xml:space="preserve">: Este es el predio de la controversia por humedales con la EPA.  Estamos a la espera del recibo acuerdo firmado con EPA para poder arrendar la finca </w:t>
      </w:r>
      <w:proofErr w:type="spellStart"/>
      <w:r w:rsidRPr="00B50872">
        <w:rPr>
          <w:rFonts w:ascii="Arial" w:hAnsi="Arial" w:cs="Arial"/>
          <w:lang w:val="es-ES"/>
        </w:rPr>
        <w:t>Kiero</w:t>
      </w:r>
      <w:proofErr w:type="spellEnd"/>
      <w:r w:rsidRPr="00B50872">
        <w:rPr>
          <w:rFonts w:ascii="Arial" w:hAnsi="Arial" w:cs="Arial"/>
          <w:lang w:val="es-ES"/>
        </w:rPr>
        <w:t xml:space="preserve"> Coco, Inc. </w:t>
      </w:r>
    </w:p>
    <w:p w:rsidR="00062C25" w:rsidRPr="00B50872" w:rsidRDefault="00062C25" w:rsidP="00062C25">
      <w:pPr>
        <w:pStyle w:val="ListParagraph"/>
        <w:spacing w:before="120" w:after="120"/>
        <w:ind w:right="720"/>
        <w:contextualSpacing w:val="0"/>
        <w:jc w:val="both"/>
        <w:rPr>
          <w:rFonts w:ascii="Arial" w:hAnsi="Arial" w:cs="Arial"/>
          <w:lang w:val="es-ES"/>
        </w:rPr>
      </w:pPr>
    </w:p>
    <w:p w:rsidR="0085709C" w:rsidRDefault="0085709C" w:rsidP="0085709C">
      <w:pPr>
        <w:pStyle w:val="ListParagraph"/>
        <w:numPr>
          <w:ilvl w:val="0"/>
          <w:numId w:val="9"/>
        </w:numPr>
        <w:spacing w:before="120" w:after="120"/>
        <w:ind w:left="720" w:right="720"/>
        <w:contextualSpacing w:val="0"/>
        <w:jc w:val="both"/>
        <w:rPr>
          <w:rFonts w:ascii="Arial" w:hAnsi="Arial" w:cs="Arial"/>
          <w:lang w:val="es-ES"/>
        </w:rPr>
      </w:pPr>
      <w:r w:rsidRPr="00B50872">
        <w:rPr>
          <w:rFonts w:ascii="Arial" w:hAnsi="Arial" w:cs="Arial"/>
          <w:lang w:val="es-ES"/>
        </w:rPr>
        <w:t xml:space="preserve"> </w:t>
      </w:r>
      <w:r w:rsidRPr="00B50872">
        <w:rPr>
          <w:rFonts w:ascii="Arial" w:hAnsi="Arial" w:cs="Arial"/>
          <w:b/>
          <w:lang w:val="es-ES"/>
        </w:rPr>
        <w:t xml:space="preserve">GEMA </w:t>
      </w:r>
      <w:proofErr w:type="spellStart"/>
      <w:r w:rsidRPr="00B50872">
        <w:rPr>
          <w:rFonts w:ascii="Arial" w:hAnsi="Arial" w:cs="Arial"/>
          <w:b/>
          <w:lang w:val="es-ES"/>
        </w:rPr>
        <w:t>Recycling</w:t>
      </w:r>
      <w:proofErr w:type="spellEnd"/>
      <w:r w:rsidRPr="00B50872">
        <w:rPr>
          <w:rFonts w:ascii="Arial" w:hAnsi="Arial" w:cs="Arial"/>
          <w:lang w:val="es-ES"/>
        </w:rPr>
        <w:t xml:space="preserve">: No tienen contrato con ATPR.  Han sido señalados por la JCA por violaciones a sus permisos.  Durante una inspección se pudo documentar múltiples violaciones ambientales. </w:t>
      </w:r>
    </w:p>
    <w:p w:rsidR="0085709C" w:rsidRDefault="0085709C" w:rsidP="0085709C">
      <w:pPr>
        <w:pStyle w:val="ListParagraph"/>
        <w:numPr>
          <w:ilvl w:val="0"/>
          <w:numId w:val="9"/>
        </w:numPr>
        <w:spacing w:before="120" w:after="120"/>
        <w:ind w:left="720" w:right="720"/>
        <w:contextualSpacing w:val="0"/>
        <w:jc w:val="both"/>
        <w:rPr>
          <w:rFonts w:ascii="Arial" w:hAnsi="Arial" w:cs="Arial"/>
          <w:lang w:val="es-ES"/>
        </w:rPr>
      </w:pPr>
      <w:r w:rsidRPr="00B50872">
        <w:rPr>
          <w:rFonts w:ascii="Arial" w:hAnsi="Arial" w:cs="Arial"/>
          <w:b/>
          <w:lang w:val="es-ES"/>
        </w:rPr>
        <w:lastRenderedPageBreak/>
        <w:t>Finca Los Cocos, Humacao</w:t>
      </w:r>
      <w:r w:rsidRPr="00B50872">
        <w:rPr>
          <w:rFonts w:ascii="Arial" w:hAnsi="Arial" w:cs="Arial"/>
          <w:lang w:val="es-ES"/>
        </w:rPr>
        <w:t xml:space="preserve">: Este caso fue referido por la División de Proyectos Públicos. </w:t>
      </w:r>
      <w:r>
        <w:rPr>
          <w:rFonts w:ascii="Arial" w:hAnsi="Arial" w:cs="Arial"/>
          <w:lang w:val="es-ES"/>
        </w:rPr>
        <w:t xml:space="preserve"> </w:t>
      </w:r>
      <w:r w:rsidRPr="00B50872">
        <w:rPr>
          <w:rFonts w:ascii="Arial" w:hAnsi="Arial" w:cs="Arial"/>
          <w:lang w:val="es-ES"/>
        </w:rPr>
        <w:t xml:space="preserve">Aparentemente hay un tranque entre el DRNA y la ATPR para la firma del contrato de arrendamiento de esta finca la cual el DRNA administra como una reserva natural.  </w:t>
      </w:r>
    </w:p>
    <w:p w:rsidR="00062C25" w:rsidRPr="00B50872" w:rsidRDefault="00062C25" w:rsidP="00062C25">
      <w:pPr>
        <w:pStyle w:val="ListParagraph"/>
        <w:spacing w:before="120" w:after="120"/>
        <w:ind w:right="720"/>
        <w:contextualSpacing w:val="0"/>
        <w:jc w:val="both"/>
        <w:rPr>
          <w:rFonts w:ascii="Arial" w:hAnsi="Arial" w:cs="Arial"/>
          <w:lang w:val="es-ES"/>
        </w:rPr>
      </w:pPr>
    </w:p>
    <w:p w:rsidR="0085709C" w:rsidRDefault="0085709C" w:rsidP="0085709C">
      <w:pPr>
        <w:pStyle w:val="ListParagraph"/>
        <w:numPr>
          <w:ilvl w:val="0"/>
          <w:numId w:val="9"/>
        </w:numPr>
        <w:spacing w:after="120"/>
        <w:ind w:left="720" w:right="720"/>
        <w:contextualSpacing w:val="0"/>
        <w:jc w:val="both"/>
        <w:rPr>
          <w:rFonts w:ascii="Arial" w:hAnsi="Arial" w:cs="Arial"/>
          <w:lang w:val="es-ES"/>
        </w:rPr>
      </w:pPr>
      <w:r w:rsidRPr="00B50872">
        <w:rPr>
          <w:rFonts w:ascii="Arial" w:hAnsi="Arial" w:cs="Arial"/>
          <w:b/>
          <w:lang w:val="es-ES"/>
        </w:rPr>
        <w:t>Vertedero de Vega Baja</w:t>
      </w:r>
      <w:r w:rsidRPr="00B50872">
        <w:rPr>
          <w:rFonts w:ascii="Arial" w:hAnsi="Arial" w:cs="Arial"/>
          <w:lang w:val="es-ES"/>
        </w:rPr>
        <w:t xml:space="preserve">: </w:t>
      </w:r>
      <w:r w:rsidRPr="00B50872">
        <w:rPr>
          <w:rFonts w:ascii="Arial" w:hAnsi="Arial" w:cs="Arial"/>
          <w:bCs/>
          <w:lang w:val="es-ES"/>
        </w:rPr>
        <w:t xml:space="preserve">Este caso trata sobre varias órdenes de cierre que pesan contra el vertedero de Vega Baja.  </w:t>
      </w:r>
      <w:r w:rsidRPr="00B50872">
        <w:rPr>
          <w:rFonts w:ascii="Arial" w:hAnsi="Arial" w:cs="Arial"/>
          <w:lang w:val="es-ES"/>
        </w:rPr>
        <w:t>En enero de 2013 la EPA emitió una orden unilateral contra la ATPR mediante la cual la ATPR tiene que llevar a cabo tareas conducentes al cierre de la celda activa del vertedero, la estabilización de taludes, charcas de retención de lixiviados y monitoreo de agua subterránea, entre otras.  El costo total de cumplir con la orden ha sido estimado en $3</w:t>
      </w:r>
      <w:proofErr w:type="gramStart"/>
      <w:r w:rsidRPr="00B50872">
        <w:rPr>
          <w:rFonts w:ascii="Arial" w:hAnsi="Arial" w:cs="Arial"/>
          <w:lang w:val="es-ES"/>
        </w:rPr>
        <w:t>,200,000</w:t>
      </w:r>
      <w:proofErr w:type="gramEnd"/>
      <w:r w:rsidRPr="00B50872">
        <w:rPr>
          <w:rFonts w:ascii="Arial" w:hAnsi="Arial" w:cs="Arial"/>
          <w:lang w:val="es-ES"/>
        </w:rPr>
        <w:t xml:space="preserve">. </w:t>
      </w:r>
      <w:r>
        <w:rPr>
          <w:rFonts w:ascii="Arial" w:hAnsi="Arial" w:cs="Arial"/>
          <w:lang w:val="es-ES"/>
        </w:rPr>
        <w:t xml:space="preserve"> </w:t>
      </w:r>
      <w:r w:rsidRPr="00B50872">
        <w:rPr>
          <w:rFonts w:ascii="Arial" w:hAnsi="Arial" w:cs="Arial"/>
          <w:lang w:val="es-ES"/>
        </w:rPr>
        <w:t xml:space="preserve">La Autoridad presentó, sin éxito, defensas ante la EPA para transferir sus obligaciones al municipio y el operador por entender que son estos los responsables del mismo.  Al presente la ATPR está negociando con el Municipio de Vega Baja y el operador del vertedero transferir el vertedero y terrenos adicionales para la instalación de una operación de reciclaje a cambio de que asuman las obligaciones de la ATPR en la Orden Unilateral de EPA. </w:t>
      </w:r>
    </w:p>
    <w:p w:rsidR="00062C25" w:rsidRPr="00B50872" w:rsidRDefault="00062C25" w:rsidP="00062C25">
      <w:pPr>
        <w:pStyle w:val="ListParagraph"/>
        <w:spacing w:after="120"/>
        <w:ind w:right="720"/>
        <w:contextualSpacing w:val="0"/>
        <w:jc w:val="both"/>
        <w:rPr>
          <w:rFonts w:ascii="Arial" w:hAnsi="Arial" w:cs="Arial"/>
          <w:lang w:val="es-ES"/>
        </w:rPr>
      </w:pPr>
    </w:p>
    <w:p w:rsidR="0085709C" w:rsidRDefault="0085709C" w:rsidP="0085709C">
      <w:pPr>
        <w:pStyle w:val="ListParagraph"/>
        <w:numPr>
          <w:ilvl w:val="0"/>
          <w:numId w:val="9"/>
        </w:numPr>
        <w:spacing w:after="120"/>
        <w:ind w:left="720" w:right="720"/>
        <w:contextualSpacing w:val="0"/>
        <w:jc w:val="both"/>
        <w:rPr>
          <w:rFonts w:ascii="Arial" w:hAnsi="Arial" w:cs="Arial"/>
          <w:bCs/>
          <w:lang w:val="es-ES"/>
        </w:rPr>
      </w:pPr>
      <w:r w:rsidRPr="00B50872">
        <w:rPr>
          <w:rFonts w:ascii="Arial" w:hAnsi="Arial" w:cs="Arial"/>
          <w:b/>
          <w:lang w:val="es-ES"/>
        </w:rPr>
        <w:t xml:space="preserve"> Central Roig, </w:t>
      </w:r>
      <w:proofErr w:type="spellStart"/>
      <w:r w:rsidRPr="00B50872">
        <w:rPr>
          <w:rFonts w:ascii="Arial" w:hAnsi="Arial" w:cs="Arial"/>
          <w:b/>
          <w:lang w:val="es-ES"/>
        </w:rPr>
        <w:t>Yabucoa</w:t>
      </w:r>
      <w:proofErr w:type="spellEnd"/>
      <w:r w:rsidRPr="00B50872">
        <w:rPr>
          <w:rFonts w:ascii="Arial" w:hAnsi="Arial" w:cs="Arial"/>
          <w:lang w:val="es-ES"/>
        </w:rPr>
        <w:t xml:space="preserve">: </w:t>
      </w:r>
      <w:r w:rsidRPr="00B50872">
        <w:rPr>
          <w:rFonts w:ascii="Arial" w:hAnsi="Arial" w:cs="Arial"/>
          <w:bCs/>
          <w:lang w:val="es-ES"/>
        </w:rPr>
        <w:t>Este caso es uno heredado de la Corporación Azucarera.</w:t>
      </w:r>
      <w:r>
        <w:rPr>
          <w:rFonts w:ascii="Arial" w:hAnsi="Arial" w:cs="Arial"/>
          <w:bCs/>
          <w:lang w:val="es-ES"/>
        </w:rPr>
        <w:t xml:space="preserve"> </w:t>
      </w:r>
      <w:r w:rsidRPr="00B50872">
        <w:rPr>
          <w:rFonts w:ascii="Arial" w:hAnsi="Arial" w:cs="Arial"/>
          <w:bCs/>
          <w:lang w:val="es-ES"/>
        </w:rPr>
        <w:t xml:space="preserve"> Luego de una serie de inspecciones realizadas por la EPA entre los años 2005 y 2014, las mismas concluyeron que dentro de la facilidad se encuentran varios contaminantes peligrosos.  Por tal motivo la EPA emitió una orden de limpieza bajo la Ley federal CERCLA.  La Autoridad negoció la limpieza con una compañía dedicada a estos servicios a cambio de ésta poder extraer los metales que hay en la central luego de haber cumplido con la orden de EPA así como un ingreso adicional de $600,000.  La compañía contratada cumplió con la orden de EPA a un costo de $595,000.  No obstante, mientras se realizaban las labores de limpieza se aprobó la Ley 18-2015 la cual declara la Central Roig monumento histórico y ordena su traspaso al Municipio de </w:t>
      </w:r>
      <w:proofErr w:type="spellStart"/>
      <w:r w:rsidRPr="00B50872">
        <w:rPr>
          <w:rFonts w:ascii="Arial" w:hAnsi="Arial" w:cs="Arial"/>
          <w:bCs/>
          <w:lang w:val="es-ES"/>
        </w:rPr>
        <w:t>Yabucoa</w:t>
      </w:r>
      <w:proofErr w:type="spellEnd"/>
      <w:r w:rsidRPr="00B50872">
        <w:rPr>
          <w:rFonts w:ascii="Arial" w:hAnsi="Arial" w:cs="Arial"/>
          <w:bCs/>
          <w:lang w:val="es-ES"/>
        </w:rPr>
        <w:t>. A consecuencia de la recién aprobada ley, las agencias administrativas denegaron el permiso de demolición necesario para extraer los metales de la central, lo que motivó al contratista a entablar una demand</w:t>
      </w:r>
      <w:r>
        <w:rPr>
          <w:rFonts w:ascii="Arial" w:hAnsi="Arial" w:cs="Arial"/>
          <w:bCs/>
          <w:lang w:val="es-ES"/>
        </w:rPr>
        <w:t>a</w:t>
      </w:r>
      <w:r w:rsidRPr="00B50872">
        <w:rPr>
          <w:rFonts w:ascii="Arial" w:hAnsi="Arial" w:cs="Arial"/>
          <w:bCs/>
          <w:lang w:val="es-ES"/>
        </w:rPr>
        <w:t xml:space="preserve"> de cobro de dinero contra la ATPR por aproximadamente $1 millón de dólares. </w:t>
      </w:r>
    </w:p>
    <w:p w:rsidR="00865BD0" w:rsidRDefault="00865BD0" w:rsidP="00865BD0">
      <w:pPr>
        <w:pStyle w:val="ListParagraph"/>
        <w:spacing w:after="120"/>
        <w:ind w:right="720"/>
        <w:contextualSpacing w:val="0"/>
        <w:jc w:val="both"/>
        <w:rPr>
          <w:rFonts w:ascii="Arial" w:hAnsi="Arial" w:cs="Arial"/>
          <w:bCs/>
          <w:lang w:val="es-ES"/>
        </w:rPr>
      </w:pPr>
    </w:p>
    <w:p w:rsidR="0085709C" w:rsidRDefault="0085709C" w:rsidP="0085709C">
      <w:pPr>
        <w:pStyle w:val="ListParagraph"/>
        <w:numPr>
          <w:ilvl w:val="0"/>
          <w:numId w:val="9"/>
        </w:numPr>
        <w:spacing w:after="120"/>
        <w:ind w:left="720" w:right="720"/>
        <w:contextualSpacing w:val="0"/>
        <w:jc w:val="both"/>
        <w:rPr>
          <w:rFonts w:ascii="Arial" w:hAnsi="Arial" w:cs="Arial"/>
          <w:bCs/>
          <w:lang w:val="es-ES"/>
        </w:rPr>
      </w:pPr>
      <w:r w:rsidRPr="00B50872">
        <w:rPr>
          <w:rFonts w:ascii="Arial" w:hAnsi="Arial" w:cs="Arial"/>
          <w:b/>
          <w:lang w:val="es-ES"/>
        </w:rPr>
        <w:t>Campo de Tiro, Finca Miraflores, Arecibo</w:t>
      </w:r>
      <w:r w:rsidRPr="00B50872">
        <w:rPr>
          <w:rFonts w:ascii="Arial" w:hAnsi="Arial" w:cs="Arial"/>
          <w:bCs/>
          <w:lang w:val="es-ES"/>
        </w:rPr>
        <w:t xml:space="preserve">: La Policía de Puerto Rico ocupa un predio de 2 cuerdas en el Barrio Miraflores de Arecibo para práctica de tiro y entrenamiento de sus oficiales.  Este predio, el cual se encuentra dentro de un área protegida por el DRNA, no tiene valor agrícola por lo que la ATPR interesa traspasarlo a la Policía de Puerto Rico y para ello ha enviado varias comunicaciones al Departamento de Justicia y a la Policía de Puerto Rico. </w:t>
      </w:r>
    </w:p>
    <w:p w:rsidR="00062C25" w:rsidRPr="00B50872" w:rsidRDefault="00062C25" w:rsidP="00062C25">
      <w:pPr>
        <w:pStyle w:val="ListParagraph"/>
        <w:spacing w:after="120"/>
        <w:ind w:right="720"/>
        <w:contextualSpacing w:val="0"/>
        <w:jc w:val="both"/>
        <w:rPr>
          <w:rFonts w:ascii="Arial" w:hAnsi="Arial" w:cs="Arial"/>
          <w:bCs/>
          <w:lang w:val="es-ES"/>
        </w:rPr>
      </w:pPr>
    </w:p>
    <w:p w:rsidR="0085709C" w:rsidRPr="00B50872" w:rsidRDefault="0085709C" w:rsidP="0085709C">
      <w:pPr>
        <w:pStyle w:val="ListParagraph"/>
        <w:numPr>
          <w:ilvl w:val="0"/>
          <w:numId w:val="9"/>
        </w:numPr>
        <w:spacing w:after="120"/>
        <w:ind w:left="720" w:right="720"/>
        <w:contextualSpacing w:val="0"/>
        <w:jc w:val="both"/>
        <w:rPr>
          <w:rFonts w:ascii="Arial" w:hAnsi="Arial" w:cs="Arial"/>
          <w:bCs/>
          <w:lang w:val="es-ES"/>
        </w:rPr>
      </w:pPr>
      <w:r w:rsidRPr="00B50872">
        <w:rPr>
          <w:rFonts w:ascii="Arial" w:hAnsi="Arial" w:cs="Arial"/>
          <w:b/>
          <w:bCs/>
          <w:lang w:val="es-ES"/>
        </w:rPr>
        <w:t>Caño Tiburones, Barceloneta-Arecibo</w:t>
      </w:r>
      <w:r w:rsidRPr="00B50872">
        <w:rPr>
          <w:rFonts w:ascii="Arial" w:hAnsi="Arial" w:cs="Arial"/>
          <w:bCs/>
          <w:lang w:val="es-ES"/>
        </w:rPr>
        <w:t xml:space="preserve">: El problema principal que enfrenta la ATPR con respecto al Caño Tiburones ha sido un aumento paulatino en el nivel de las aguas del Caño a lo largo de los últimos 15 años que hace que unas 2,200 cuerdas de terrenos agrícolas propiedad de la ATPR que están fuera de la delimitación de la reserva, en su mayoría en la porción este del Caño, dentro de los límites del Municipio de Barceloneta, se encuentren en condiciones anegadas.  Esta situación está afectando directamente, en adición a las fincas de la Autoridad y sus agricultores, al vertedero de Arecibo, al aeropuerto de ese mismo municipio, personas particulares y a varias industrias localizadas al sur del Caño.  La ATPR entiende que la razón principal para que esto ocurra es el mal manejo de las bombas de la Estación El Vigía, en el Bo. Islote de Arecibo, actualmente bajo el control del DRNA. </w:t>
      </w:r>
      <w:r>
        <w:rPr>
          <w:rFonts w:ascii="Arial" w:hAnsi="Arial" w:cs="Arial"/>
          <w:bCs/>
          <w:lang w:val="es-ES"/>
        </w:rPr>
        <w:t xml:space="preserve"> </w:t>
      </w:r>
      <w:r w:rsidRPr="00B50872">
        <w:rPr>
          <w:rFonts w:ascii="Arial" w:hAnsi="Arial" w:cs="Arial"/>
          <w:bCs/>
          <w:lang w:val="es-ES"/>
        </w:rPr>
        <w:t xml:space="preserve">Mientras esto ocurre, la ATPR fue demandada por un grupo ambiental mediante un recurso de </w:t>
      </w:r>
      <w:proofErr w:type="spellStart"/>
      <w:r w:rsidRPr="00B50872">
        <w:rPr>
          <w:rFonts w:ascii="Arial" w:hAnsi="Arial" w:cs="Arial"/>
          <w:bCs/>
          <w:lang w:val="es-ES"/>
        </w:rPr>
        <w:t>mandamus</w:t>
      </w:r>
      <w:proofErr w:type="spellEnd"/>
      <w:r w:rsidRPr="00B50872">
        <w:rPr>
          <w:rFonts w:ascii="Arial" w:hAnsi="Arial" w:cs="Arial"/>
          <w:bCs/>
          <w:lang w:val="es-ES"/>
        </w:rPr>
        <w:t xml:space="preserve"> para alterar la delimitación de la Reserva Natural Caño Tiburones de modo que se incluya dentro de la misma los terrenos que se han ido anegando por culpa del mal manejo de las bombas.  El juicio ha sido señalado para el mes de diciembre. </w:t>
      </w:r>
    </w:p>
    <w:p w:rsidR="009F1791" w:rsidRDefault="009F1791" w:rsidP="0085709C">
      <w:pPr>
        <w:jc w:val="both"/>
        <w:rPr>
          <w:rFonts w:ascii="Arial" w:hAnsi="Arial" w:cs="Arial"/>
          <w:lang w:val="es-ES"/>
        </w:rPr>
      </w:pPr>
    </w:p>
    <w:p w:rsidR="009F1791" w:rsidRDefault="009F1791" w:rsidP="0085709C">
      <w:pPr>
        <w:jc w:val="both"/>
        <w:rPr>
          <w:rFonts w:ascii="Arial" w:hAnsi="Arial" w:cs="Arial"/>
          <w:lang w:val="es-ES"/>
        </w:rPr>
      </w:pPr>
    </w:p>
    <w:p w:rsidR="009F1791" w:rsidRPr="00062C25" w:rsidRDefault="009F1791" w:rsidP="0085709C">
      <w:pPr>
        <w:jc w:val="both"/>
        <w:rPr>
          <w:rFonts w:ascii="Arial" w:hAnsi="Arial" w:cs="Arial"/>
          <w:b/>
          <w:i/>
          <w:lang w:val="es-ES"/>
        </w:rPr>
      </w:pPr>
      <w:r w:rsidRPr="00062C25">
        <w:rPr>
          <w:rFonts w:ascii="Arial" w:hAnsi="Arial" w:cs="Arial"/>
          <w:b/>
          <w:i/>
          <w:lang w:val="es-ES"/>
        </w:rPr>
        <w:t>PROYECTOS ESPECIALES</w:t>
      </w:r>
    </w:p>
    <w:p w:rsidR="009F1791" w:rsidRPr="009F1791" w:rsidRDefault="009F1791" w:rsidP="0085709C">
      <w:pPr>
        <w:jc w:val="both"/>
        <w:rPr>
          <w:rFonts w:ascii="Arial" w:hAnsi="Arial" w:cs="Arial"/>
          <w:b/>
          <w:lang w:val="es-ES"/>
        </w:rPr>
      </w:pPr>
    </w:p>
    <w:p w:rsidR="009F1791" w:rsidRPr="009F1791" w:rsidRDefault="009F1791" w:rsidP="0085709C">
      <w:pPr>
        <w:jc w:val="both"/>
        <w:rPr>
          <w:rFonts w:ascii="Arial" w:hAnsi="Arial" w:cs="Arial"/>
          <w:b/>
          <w:lang w:val="es-ES"/>
        </w:rPr>
      </w:pPr>
    </w:p>
    <w:p w:rsidR="009F1791" w:rsidRPr="00062C25" w:rsidRDefault="009F1791" w:rsidP="009F1791">
      <w:pPr>
        <w:pStyle w:val="ListParagraph"/>
        <w:numPr>
          <w:ilvl w:val="0"/>
          <w:numId w:val="10"/>
        </w:numPr>
        <w:jc w:val="both"/>
        <w:rPr>
          <w:rFonts w:ascii="Arial" w:hAnsi="Arial" w:cs="Arial"/>
          <w:b/>
          <w:i/>
          <w:lang w:val="es-ES"/>
        </w:rPr>
      </w:pPr>
      <w:r w:rsidRPr="00062C25">
        <w:rPr>
          <w:rFonts w:ascii="Arial" w:hAnsi="Arial" w:cs="Arial"/>
          <w:b/>
          <w:i/>
          <w:lang w:val="es-ES"/>
        </w:rPr>
        <w:t>Siembra de caña de Azúcar</w:t>
      </w:r>
    </w:p>
    <w:p w:rsidR="009F1791" w:rsidRDefault="009F1791" w:rsidP="009F1791">
      <w:pPr>
        <w:ind w:left="360"/>
        <w:jc w:val="both"/>
        <w:rPr>
          <w:rFonts w:ascii="Arial" w:hAnsi="Arial" w:cs="Arial"/>
          <w:lang w:val="es-ES"/>
        </w:rPr>
      </w:pPr>
    </w:p>
    <w:p w:rsidR="009F1791" w:rsidRDefault="009F1791" w:rsidP="009F1791">
      <w:pPr>
        <w:jc w:val="both"/>
        <w:rPr>
          <w:rFonts w:ascii="Arial" w:hAnsi="Arial" w:cs="Arial"/>
          <w:lang w:val="es-PR"/>
        </w:rPr>
      </w:pPr>
      <w:r w:rsidRPr="00062C25">
        <w:rPr>
          <w:rFonts w:ascii="Arial" w:hAnsi="Arial" w:cs="Arial"/>
          <w:lang w:val="es-PR"/>
        </w:rPr>
        <w:t xml:space="preserve">El Gobierno del Estado Libre Asociado de Puerto Rico, a través del Departamento de Desarrollo Económico, la Compañía de Fomento Industrial, el Programa de Rones de Puerto Rico, el Departamento de Agricultura y la Autoridad de Tierras </w:t>
      </w:r>
      <w:r w:rsidR="00062C25">
        <w:rPr>
          <w:rFonts w:ascii="Arial" w:hAnsi="Arial" w:cs="Arial"/>
          <w:lang w:val="es-PR"/>
        </w:rPr>
        <w:t xml:space="preserve">de Puerto Rico </w:t>
      </w:r>
      <w:r w:rsidRPr="00062C25">
        <w:rPr>
          <w:rFonts w:ascii="Arial" w:hAnsi="Arial" w:cs="Arial"/>
          <w:lang w:val="es-PR"/>
        </w:rPr>
        <w:t>desarrollaron un Proyecto de Siembra y Procesamiento de Caña de Azúcar, para la producción de mieles y alcohol para ser utilizadas como materia prima por la industria del ron.</w:t>
      </w:r>
    </w:p>
    <w:p w:rsidR="00062C25" w:rsidRPr="00062C25" w:rsidRDefault="00062C25" w:rsidP="009F1791">
      <w:pPr>
        <w:jc w:val="both"/>
        <w:rPr>
          <w:rFonts w:ascii="Arial" w:hAnsi="Arial" w:cs="Arial"/>
          <w:lang w:val="es-PR"/>
        </w:rPr>
      </w:pPr>
    </w:p>
    <w:p w:rsidR="009F1791" w:rsidRDefault="009F1791" w:rsidP="009F1791">
      <w:pPr>
        <w:jc w:val="both"/>
        <w:rPr>
          <w:rFonts w:ascii="Arial" w:hAnsi="Arial" w:cs="Arial"/>
          <w:lang w:val="es-PR"/>
        </w:rPr>
      </w:pPr>
      <w:r w:rsidRPr="00062C25">
        <w:rPr>
          <w:rFonts w:ascii="Arial" w:hAnsi="Arial" w:cs="Arial"/>
          <w:lang w:val="es-PR"/>
        </w:rPr>
        <w:t>Este Proyecto de Siembra y Procesamiento de Caña de Azúcar es uno considerado de política pública dirigido a fortalecer esta industria de rones asegurándole la obtención de la materia prima local que es esencial para la producción de sus productos</w:t>
      </w:r>
      <w:r w:rsidR="00062C25">
        <w:rPr>
          <w:rFonts w:ascii="Arial" w:hAnsi="Arial" w:cs="Arial"/>
          <w:lang w:val="es-PR"/>
        </w:rPr>
        <w:t>,</w:t>
      </w:r>
      <w:r w:rsidRPr="00062C25">
        <w:rPr>
          <w:rFonts w:ascii="Arial" w:hAnsi="Arial" w:cs="Arial"/>
          <w:lang w:val="es-PR"/>
        </w:rPr>
        <w:t xml:space="preserve"> la creación de empleos (sobre 600) y el impacto económico positivo para la región sur y oeste del país. </w:t>
      </w:r>
      <w:r w:rsidR="00062C25">
        <w:rPr>
          <w:rFonts w:ascii="Arial" w:hAnsi="Arial" w:cs="Arial"/>
          <w:lang w:val="es-PR"/>
        </w:rPr>
        <w:t xml:space="preserve"> </w:t>
      </w:r>
      <w:r w:rsidRPr="00062C25">
        <w:rPr>
          <w:rFonts w:ascii="Arial" w:hAnsi="Arial" w:cs="Arial"/>
          <w:lang w:val="es-PR"/>
        </w:rPr>
        <w:t>En adición</w:t>
      </w:r>
      <w:r w:rsidR="00062C25">
        <w:rPr>
          <w:rFonts w:ascii="Arial" w:hAnsi="Arial" w:cs="Arial"/>
          <w:lang w:val="es-PR"/>
        </w:rPr>
        <w:t>,</w:t>
      </w:r>
      <w:r w:rsidRPr="00062C25">
        <w:rPr>
          <w:rFonts w:ascii="Arial" w:hAnsi="Arial" w:cs="Arial"/>
          <w:lang w:val="es-PR"/>
        </w:rPr>
        <w:t xml:space="preserve"> el </w:t>
      </w:r>
      <w:r w:rsidR="00062C25">
        <w:rPr>
          <w:rFonts w:ascii="Arial" w:hAnsi="Arial" w:cs="Arial"/>
          <w:lang w:val="es-PR"/>
        </w:rPr>
        <w:t>G</w:t>
      </w:r>
      <w:r w:rsidRPr="00062C25">
        <w:rPr>
          <w:rFonts w:ascii="Arial" w:hAnsi="Arial" w:cs="Arial"/>
          <w:lang w:val="es-PR"/>
        </w:rPr>
        <w:t>obierno del Estado Libre asociado de Puerto Rico  recibe un rembolso por parte del Gobierno Federal de los Estados Unidos de los impuestos pagados por la exportación del ron de Puerto Rico, el establecimiento del proyecto propiciaría que las industrias de ron local puedan aumentar significativamente la exportación de sus productos</w:t>
      </w:r>
      <w:r w:rsidR="00842808">
        <w:rPr>
          <w:rFonts w:ascii="Arial" w:hAnsi="Arial" w:cs="Arial"/>
          <w:lang w:val="es-PR"/>
        </w:rPr>
        <w:t>, que serí</w:t>
      </w:r>
      <w:r w:rsidRPr="00062C25">
        <w:rPr>
          <w:rFonts w:ascii="Arial" w:hAnsi="Arial" w:cs="Arial"/>
          <w:lang w:val="es-PR"/>
        </w:rPr>
        <w:t xml:space="preserve">a doblemente beneficioso para nuestro país.  </w:t>
      </w:r>
    </w:p>
    <w:p w:rsidR="00842808" w:rsidRPr="00062C25" w:rsidRDefault="00842808" w:rsidP="009F1791">
      <w:pPr>
        <w:jc w:val="both"/>
        <w:rPr>
          <w:rFonts w:ascii="Arial" w:hAnsi="Arial" w:cs="Arial"/>
          <w:lang w:val="es-PR"/>
        </w:rPr>
      </w:pPr>
    </w:p>
    <w:p w:rsidR="00681DF0" w:rsidRPr="00062C25" w:rsidRDefault="009F1791" w:rsidP="009F1791">
      <w:pPr>
        <w:jc w:val="both"/>
        <w:rPr>
          <w:rFonts w:ascii="Arial" w:hAnsi="Arial" w:cs="Arial"/>
          <w:lang w:val="es-PR"/>
        </w:rPr>
      </w:pPr>
      <w:r w:rsidRPr="00062C25">
        <w:rPr>
          <w:rFonts w:ascii="Arial" w:hAnsi="Arial" w:cs="Arial"/>
          <w:lang w:val="es-PR"/>
        </w:rPr>
        <w:lastRenderedPageBreak/>
        <w:t>Este proyecto Agroindustrial tiene dos elementos fundamentales, uno la fase Industrial fabril que es el establecimiento de un Ingenio Moledor (Central Azucarera) y la parte agrícola o de campo que es las siembras y cultivo de la caña de azúcar.</w:t>
      </w:r>
    </w:p>
    <w:p w:rsidR="00681DF0" w:rsidRPr="00062C25" w:rsidRDefault="00681DF0" w:rsidP="009F1791">
      <w:pPr>
        <w:jc w:val="both"/>
        <w:rPr>
          <w:rFonts w:ascii="Arial" w:hAnsi="Arial" w:cs="Arial"/>
          <w:lang w:val="es-PR"/>
        </w:rPr>
      </w:pPr>
    </w:p>
    <w:p w:rsidR="00681DF0" w:rsidRPr="00062C25" w:rsidRDefault="00681DF0" w:rsidP="009F1791">
      <w:pPr>
        <w:jc w:val="both"/>
        <w:rPr>
          <w:rFonts w:ascii="Arial" w:hAnsi="Arial" w:cs="Arial"/>
          <w:lang w:val="es-PR"/>
        </w:rPr>
      </w:pPr>
      <w:r w:rsidRPr="00062C25">
        <w:rPr>
          <w:rFonts w:ascii="Arial" w:hAnsi="Arial" w:cs="Arial"/>
          <w:lang w:val="es-PR"/>
        </w:rPr>
        <w:t xml:space="preserve">A la Autoridad de Tierras le fue delegado el establecimiento de una finca para la producción de semillas de caña la cual servirá como base para las futuras siembras. </w:t>
      </w:r>
      <w:r w:rsidR="00842808">
        <w:rPr>
          <w:rFonts w:ascii="Arial" w:hAnsi="Arial" w:cs="Arial"/>
          <w:lang w:val="es-PR"/>
        </w:rPr>
        <w:t xml:space="preserve"> </w:t>
      </w:r>
      <w:r w:rsidRPr="00062C25">
        <w:rPr>
          <w:rFonts w:ascii="Arial" w:hAnsi="Arial" w:cs="Arial"/>
          <w:lang w:val="es-PR"/>
        </w:rPr>
        <w:t xml:space="preserve">Con este propósito la ATPR sembró 846 cuerdas de semilla en el </w:t>
      </w:r>
      <w:r w:rsidR="00842808">
        <w:rPr>
          <w:rFonts w:ascii="Arial" w:hAnsi="Arial" w:cs="Arial"/>
          <w:lang w:val="es-PR"/>
        </w:rPr>
        <w:t>V</w:t>
      </w:r>
      <w:r w:rsidRPr="00062C25">
        <w:rPr>
          <w:rFonts w:ascii="Arial" w:hAnsi="Arial" w:cs="Arial"/>
          <w:lang w:val="es-PR"/>
        </w:rPr>
        <w:t>alle de Coloso, Aguada</w:t>
      </w:r>
      <w:r w:rsidR="00842808">
        <w:rPr>
          <w:rFonts w:ascii="Arial" w:hAnsi="Arial" w:cs="Arial"/>
          <w:lang w:val="es-PR"/>
        </w:rPr>
        <w:t xml:space="preserve"> y 100 cuerdas de semilla en </w:t>
      </w:r>
      <w:proofErr w:type="spellStart"/>
      <w:r w:rsidR="00842808">
        <w:rPr>
          <w:rFonts w:ascii="Arial" w:hAnsi="Arial" w:cs="Arial"/>
          <w:lang w:val="es-PR"/>
        </w:rPr>
        <w:t>Guá</w:t>
      </w:r>
      <w:r w:rsidRPr="00062C25">
        <w:rPr>
          <w:rFonts w:ascii="Arial" w:hAnsi="Arial" w:cs="Arial"/>
          <w:lang w:val="es-PR"/>
        </w:rPr>
        <w:t>nica</w:t>
      </w:r>
      <w:proofErr w:type="spellEnd"/>
      <w:r w:rsidRPr="00062C25">
        <w:rPr>
          <w:rFonts w:ascii="Arial" w:hAnsi="Arial" w:cs="Arial"/>
          <w:lang w:val="es-PR"/>
        </w:rPr>
        <w:t xml:space="preserve">.  </w:t>
      </w:r>
    </w:p>
    <w:p w:rsidR="00681DF0" w:rsidRPr="00062C25" w:rsidRDefault="00681DF0" w:rsidP="009F1791">
      <w:pPr>
        <w:jc w:val="both"/>
        <w:rPr>
          <w:rFonts w:ascii="Arial" w:hAnsi="Arial" w:cs="Arial"/>
          <w:lang w:val="es-PR"/>
        </w:rPr>
      </w:pPr>
    </w:p>
    <w:p w:rsidR="009F1791" w:rsidRPr="00062C25" w:rsidRDefault="009F1791" w:rsidP="009F1791">
      <w:pPr>
        <w:jc w:val="both"/>
        <w:rPr>
          <w:rFonts w:ascii="Arial" w:hAnsi="Arial" w:cs="Arial"/>
          <w:lang w:val="es-PR"/>
        </w:rPr>
      </w:pPr>
      <w:r w:rsidRPr="00062C25">
        <w:rPr>
          <w:rFonts w:ascii="Arial" w:hAnsi="Arial" w:cs="Arial"/>
          <w:lang w:val="es-PR"/>
        </w:rPr>
        <w:t xml:space="preserve">Como parte del esfuerzo que se ha </w:t>
      </w:r>
      <w:r w:rsidR="00842808">
        <w:rPr>
          <w:rFonts w:ascii="Arial" w:hAnsi="Arial" w:cs="Arial"/>
          <w:lang w:val="es-PR"/>
        </w:rPr>
        <w:t>estado</w:t>
      </w:r>
      <w:r w:rsidRPr="00062C25">
        <w:rPr>
          <w:rFonts w:ascii="Arial" w:hAnsi="Arial" w:cs="Arial"/>
          <w:lang w:val="es-PR"/>
        </w:rPr>
        <w:t xml:space="preserve"> realizando para que este proyecto sea una realidad, las agencias del gobierno responsables a las cuales se </w:t>
      </w:r>
      <w:r w:rsidR="00842808" w:rsidRPr="00062C25">
        <w:rPr>
          <w:rFonts w:ascii="Arial" w:hAnsi="Arial" w:cs="Arial"/>
          <w:lang w:val="es-PR"/>
        </w:rPr>
        <w:t>les</w:t>
      </w:r>
      <w:r w:rsidRPr="00062C25">
        <w:rPr>
          <w:rFonts w:ascii="Arial" w:hAnsi="Arial" w:cs="Arial"/>
          <w:lang w:val="es-PR"/>
        </w:rPr>
        <w:t xml:space="preserve"> deleg</w:t>
      </w:r>
      <w:r w:rsidR="00842808">
        <w:rPr>
          <w:rFonts w:ascii="Arial" w:hAnsi="Arial" w:cs="Arial"/>
          <w:lang w:val="es-PR"/>
        </w:rPr>
        <w:t>ó</w:t>
      </w:r>
      <w:r w:rsidRPr="00062C25">
        <w:rPr>
          <w:rFonts w:ascii="Arial" w:hAnsi="Arial" w:cs="Arial"/>
          <w:lang w:val="es-PR"/>
        </w:rPr>
        <w:t xml:space="preserve"> firma</w:t>
      </w:r>
      <w:r w:rsidR="00A32327" w:rsidRPr="00062C25">
        <w:rPr>
          <w:rFonts w:ascii="Arial" w:hAnsi="Arial" w:cs="Arial"/>
          <w:lang w:val="es-PR"/>
        </w:rPr>
        <w:t>ron</w:t>
      </w:r>
      <w:r w:rsidRPr="00062C25">
        <w:rPr>
          <w:rFonts w:ascii="Arial" w:hAnsi="Arial" w:cs="Arial"/>
          <w:lang w:val="es-PR"/>
        </w:rPr>
        <w:t xml:space="preserve"> un Memorándum de Entendimiento con las Empresas </w:t>
      </w:r>
      <w:proofErr w:type="spellStart"/>
      <w:r w:rsidRPr="00062C25">
        <w:rPr>
          <w:rFonts w:ascii="Arial" w:hAnsi="Arial" w:cs="Arial"/>
          <w:lang w:val="es-PR"/>
        </w:rPr>
        <w:t>Serrall</w:t>
      </w:r>
      <w:r w:rsidR="00842808">
        <w:rPr>
          <w:rFonts w:ascii="Arial" w:hAnsi="Arial" w:cs="Arial"/>
          <w:lang w:val="es-PR"/>
        </w:rPr>
        <w:t>és</w:t>
      </w:r>
      <w:proofErr w:type="spellEnd"/>
      <w:r w:rsidR="00842808">
        <w:rPr>
          <w:rFonts w:ascii="Arial" w:hAnsi="Arial" w:cs="Arial"/>
          <w:lang w:val="es-PR"/>
        </w:rPr>
        <w:t xml:space="preserve"> de Ponce (Destilería </w:t>
      </w:r>
      <w:proofErr w:type="spellStart"/>
      <w:r w:rsidR="00842808">
        <w:rPr>
          <w:rFonts w:ascii="Arial" w:hAnsi="Arial" w:cs="Arial"/>
          <w:lang w:val="es-PR"/>
        </w:rPr>
        <w:t>Serrallé</w:t>
      </w:r>
      <w:r w:rsidRPr="00062C25">
        <w:rPr>
          <w:rFonts w:ascii="Arial" w:hAnsi="Arial" w:cs="Arial"/>
          <w:lang w:val="es-PR"/>
        </w:rPr>
        <w:t>s</w:t>
      </w:r>
      <w:proofErr w:type="spellEnd"/>
      <w:r w:rsidRPr="00062C25">
        <w:rPr>
          <w:rFonts w:ascii="Arial" w:hAnsi="Arial" w:cs="Arial"/>
          <w:lang w:val="es-PR"/>
        </w:rPr>
        <w:t xml:space="preserve">) para el establecimiento del mismo. </w:t>
      </w:r>
      <w:r w:rsidR="00842808">
        <w:rPr>
          <w:rFonts w:ascii="Arial" w:hAnsi="Arial" w:cs="Arial"/>
          <w:lang w:val="es-PR"/>
        </w:rPr>
        <w:t xml:space="preserve"> </w:t>
      </w:r>
      <w:r w:rsidRPr="00062C25">
        <w:rPr>
          <w:rFonts w:ascii="Arial" w:hAnsi="Arial" w:cs="Arial"/>
          <w:lang w:val="es-PR"/>
        </w:rPr>
        <w:t xml:space="preserve">La Destilería </w:t>
      </w:r>
      <w:proofErr w:type="spellStart"/>
      <w:r w:rsidRPr="00062C25">
        <w:rPr>
          <w:rFonts w:ascii="Arial" w:hAnsi="Arial" w:cs="Arial"/>
          <w:lang w:val="es-PR"/>
        </w:rPr>
        <w:t>Serrallés</w:t>
      </w:r>
      <w:proofErr w:type="spellEnd"/>
      <w:r w:rsidRPr="00062C25">
        <w:rPr>
          <w:rFonts w:ascii="Arial" w:hAnsi="Arial" w:cs="Arial"/>
          <w:lang w:val="es-PR"/>
        </w:rPr>
        <w:t xml:space="preserve"> se propone establecer un Ingenio Moledor de Caña de Azúcar en las facilidades de la antigua Central Mercedita en Ponce y el establecimiento de 12,000 (12 mil)  cuerdas de siembra de caña de azúcar.</w:t>
      </w:r>
    </w:p>
    <w:p w:rsidR="00A32327" w:rsidRPr="00062C25" w:rsidRDefault="00A32327" w:rsidP="009F1791">
      <w:pPr>
        <w:jc w:val="both"/>
        <w:rPr>
          <w:rFonts w:ascii="Arial" w:hAnsi="Arial" w:cs="Arial"/>
          <w:lang w:val="es-PR"/>
        </w:rPr>
      </w:pPr>
    </w:p>
    <w:p w:rsidR="009F1791" w:rsidRPr="00062C25" w:rsidRDefault="00842808" w:rsidP="009F1791">
      <w:pPr>
        <w:jc w:val="both"/>
        <w:rPr>
          <w:rFonts w:ascii="Arial" w:hAnsi="Arial" w:cs="Arial"/>
          <w:lang w:val="es-PR"/>
        </w:rPr>
      </w:pPr>
      <w:r>
        <w:rPr>
          <w:rFonts w:ascii="Arial" w:hAnsi="Arial" w:cs="Arial"/>
          <w:lang w:val="es-PR"/>
        </w:rPr>
        <w:t>Las Siembras de Ca</w:t>
      </w:r>
      <w:r w:rsidR="009F1791" w:rsidRPr="00062C25">
        <w:rPr>
          <w:rFonts w:ascii="Arial" w:hAnsi="Arial" w:cs="Arial"/>
          <w:lang w:val="es-PR"/>
        </w:rPr>
        <w:t xml:space="preserve">ña para este proyecto se proyectan realizar en 4,000 (4 mil) cuerdas del Gobierno (de la Autoridad de Tierras de Puerto Rico) mediante contrato de arrendamiento a las Empresas </w:t>
      </w:r>
      <w:proofErr w:type="spellStart"/>
      <w:r w:rsidR="009F1791" w:rsidRPr="00062C25">
        <w:rPr>
          <w:rFonts w:ascii="Arial" w:hAnsi="Arial" w:cs="Arial"/>
          <w:lang w:val="es-PR"/>
        </w:rPr>
        <w:t>Serrall</w:t>
      </w:r>
      <w:r>
        <w:rPr>
          <w:rFonts w:ascii="Arial" w:hAnsi="Arial" w:cs="Arial"/>
          <w:lang w:val="es-PR"/>
        </w:rPr>
        <w:t>é</w:t>
      </w:r>
      <w:r w:rsidR="009F1791" w:rsidRPr="00062C25">
        <w:rPr>
          <w:rFonts w:ascii="Arial" w:hAnsi="Arial" w:cs="Arial"/>
          <w:lang w:val="es-PR"/>
        </w:rPr>
        <w:t>s</w:t>
      </w:r>
      <w:proofErr w:type="spellEnd"/>
      <w:r w:rsidR="009F1791" w:rsidRPr="00062C25">
        <w:rPr>
          <w:rFonts w:ascii="Arial" w:hAnsi="Arial" w:cs="Arial"/>
          <w:lang w:val="es-PR"/>
        </w:rPr>
        <w:t xml:space="preserve"> o subsidiaria agrícola de esta y las restantes 8,000 (8 mil) cuerdas privadas ya sea mediante contratos de producción o arrendamientos. </w:t>
      </w:r>
    </w:p>
    <w:p w:rsidR="009F1791" w:rsidRPr="00062C25" w:rsidRDefault="009F1791" w:rsidP="009F1791">
      <w:pPr>
        <w:ind w:left="360"/>
        <w:jc w:val="both"/>
        <w:rPr>
          <w:rFonts w:ascii="Arial" w:hAnsi="Arial" w:cs="Arial"/>
          <w:lang w:val="es-PR"/>
        </w:rPr>
      </w:pPr>
    </w:p>
    <w:p w:rsidR="009F1791" w:rsidRPr="00062C25" w:rsidRDefault="009F1791" w:rsidP="009F1791">
      <w:pPr>
        <w:ind w:left="360"/>
        <w:jc w:val="both"/>
        <w:rPr>
          <w:rFonts w:ascii="Arial" w:hAnsi="Arial" w:cs="Arial"/>
          <w:lang w:val="es-ES"/>
        </w:rPr>
      </w:pPr>
    </w:p>
    <w:p w:rsidR="009F1791" w:rsidRPr="00842808" w:rsidRDefault="00681DF0" w:rsidP="00681DF0">
      <w:pPr>
        <w:pStyle w:val="ListParagraph"/>
        <w:numPr>
          <w:ilvl w:val="0"/>
          <w:numId w:val="10"/>
        </w:numPr>
        <w:jc w:val="both"/>
        <w:rPr>
          <w:rFonts w:ascii="Arial" w:hAnsi="Arial" w:cs="Arial"/>
          <w:b/>
          <w:i/>
          <w:lang w:val="es-ES"/>
        </w:rPr>
      </w:pPr>
      <w:r w:rsidRPr="00842808">
        <w:rPr>
          <w:rFonts w:ascii="Arial" w:hAnsi="Arial" w:cs="Arial"/>
          <w:b/>
          <w:i/>
          <w:lang w:val="es-ES"/>
        </w:rPr>
        <w:t>Proyecto Siembra de Arroz</w:t>
      </w:r>
    </w:p>
    <w:p w:rsidR="00681DF0" w:rsidRDefault="00681DF0" w:rsidP="00681DF0">
      <w:pPr>
        <w:ind w:left="360"/>
        <w:jc w:val="both"/>
        <w:rPr>
          <w:rFonts w:ascii="Arial" w:hAnsi="Arial" w:cs="Arial"/>
          <w:b/>
          <w:lang w:val="es-ES"/>
        </w:rPr>
      </w:pPr>
    </w:p>
    <w:p w:rsidR="00681DF0" w:rsidRPr="00681DF0" w:rsidRDefault="00681DF0" w:rsidP="00681DF0">
      <w:pPr>
        <w:ind w:left="72"/>
        <w:jc w:val="both"/>
        <w:rPr>
          <w:rFonts w:ascii="Arial" w:hAnsi="Arial" w:cs="Arial"/>
          <w:lang w:val="es-ES"/>
        </w:rPr>
      </w:pPr>
      <w:r w:rsidRPr="00681DF0">
        <w:rPr>
          <w:rFonts w:ascii="Arial" w:hAnsi="Arial" w:cs="Arial"/>
          <w:lang w:val="es-ES"/>
        </w:rPr>
        <w:t>Se sentaron las bases para el Proyecto de Arroz, que actualmente desarrolla FIDA.  Así, el arroz integral sembrado en Puerto Rico apuntala la seguridad alimentaria de los puertorriqueños.</w:t>
      </w:r>
      <w:r>
        <w:rPr>
          <w:rFonts w:ascii="Arial" w:hAnsi="Arial" w:cs="Arial"/>
          <w:lang w:val="es-ES"/>
        </w:rPr>
        <w:t xml:space="preserve"> </w:t>
      </w:r>
      <w:r w:rsidR="00842808">
        <w:rPr>
          <w:rFonts w:ascii="Arial" w:hAnsi="Arial" w:cs="Arial"/>
          <w:lang w:val="es-ES"/>
        </w:rPr>
        <w:t xml:space="preserve"> </w:t>
      </w:r>
      <w:r>
        <w:rPr>
          <w:rFonts w:ascii="Arial" w:hAnsi="Arial" w:cs="Arial"/>
          <w:lang w:val="es-ES"/>
        </w:rPr>
        <w:t>Los detalles de este proyecto se discuten en el memoria</w:t>
      </w:r>
      <w:r w:rsidR="00842808">
        <w:rPr>
          <w:rFonts w:ascii="Arial" w:hAnsi="Arial" w:cs="Arial"/>
          <w:lang w:val="es-ES"/>
        </w:rPr>
        <w:t>l</w:t>
      </w:r>
      <w:r>
        <w:rPr>
          <w:rFonts w:ascii="Arial" w:hAnsi="Arial" w:cs="Arial"/>
          <w:lang w:val="es-ES"/>
        </w:rPr>
        <w:t xml:space="preserve"> de FIDA. </w:t>
      </w:r>
    </w:p>
    <w:p w:rsidR="009F1791" w:rsidRDefault="009F1791" w:rsidP="0085709C">
      <w:pPr>
        <w:jc w:val="both"/>
        <w:rPr>
          <w:rFonts w:ascii="Arial" w:hAnsi="Arial" w:cs="Arial"/>
          <w:b/>
          <w:lang w:val="es-ES"/>
        </w:rPr>
      </w:pPr>
    </w:p>
    <w:p w:rsidR="00842808" w:rsidRPr="00681DF0" w:rsidRDefault="00842808" w:rsidP="0085709C">
      <w:pPr>
        <w:jc w:val="both"/>
        <w:rPr>
          <w:rFonts w:ascii="Arial" w:hAnsi="Arial" w:cs="Arial"/>
          <w:b/>
          <w:lang w:val="es-ES"/>
        </w:rPr>
      </w:pPr>
    </w:p>
    <w:p w:rsidR="0085709C" w:rsidRDefault="0085709C" w:rsidP="0085709C">
      <w:pPr>
        <w:jc w:val="both"/>
        <w:rPr>
          <w:rFonts w:ascii="Arial" w:hAnsi="Arial" w:cs="Arial"/>
          <w:lang w:val="es-ES"/>
        </w:rPr>
      </w:pPr>
      <w:r w:rsidRPr="00C243C9">
        <w:rPr>
          <w:rFonts w:ascii="Arial" w:hAnsi="Arial" w:cs="Arial"/>
          <w:lang w:val="es-ES"/>
        </w:rPr>
        <w:t xml:space="preserve">► </w:t>
      </w:r>
      <w:r w:rsidR="00842808">
        <w:rPr>
          <w:rFonts w:ascii="Arial" w:hAnsi="Arial" w:cs="Arial"/>
          <w:b/>
          <w:i/>
          <w:lang w:val="es-ES"/>
        </w:rPr>
        <w:t>LOGROS</w:t>
      </w:r>
    </w:p>
    <w:p w:rsidR="00681DF0" w:rsidRPr="00C243C9" w:rsidRDefault="00681DF0" w:rsidP="0085709C">
      <w:pPr>
        <w:jc w:val="both"/>
        <w:rPr>
          <w:rFonts w:ascii="Arial" w:hAnsi="Arial" w:cs="Arial"/>
          <w:lang w:val="es-ES"/>
        </w:rPr>
      </w:pPr>
    </w:p>
    <w:p w:rsidR="0085709C" w:rsidRDefault="0085709C" w:rsidP="0085709C">
      <w:pPr>
        <w:pStyle w:val="ListParagraph"/>
        <w:numPr>
          <w:ilvl w:val="0"/>
          <w:numId w:val="8"/>
        </w:numPr>
        <w:spacing w:after="200"/>
        <w:jc w:val="both"/>
        <w:rPr>
          <w:rFonts w:ascii="Arial" w:hAnsi="Arial" w:cs="Arial"/>
          <w:lang w:val="es-ES"/>
        </w:rPr>
      </w:pPr>
      <w:r w:rsidRPr="00C243C9">
        <w:rPr>
          <w:rFonts w:ascii="Arial" w:hAnsi="Arial" w:cs="Arial"/>
          <w:lang w:val="es-ES"/>
        </w:rPr>
        <w:t xml:space="preserve">Se han arrendado prácticamente todos los terrenos útiles de la agencia. </w:t>
      </w:r>
    </w:p>
    <w:p w:rsidR="00842808" w:rsidRPr="00C243C9" w:rsidRDefault="00842808" w:rsidP="00842808">
      <w:pPr>
        <w:pStyle w:val="ListParagraph"/>
        <w:spacing w:after="200"/>
        <w:ind w:left="432"/>
        <w:jc w:val="both"/>
        <w:rPr>
          <w:rFonts w:ascii="Arial" w:hAnsi="Arial" w:cs="Arial"/>
          <w:lang w:val="es-ES"/>
        </w:rPr>
      </w:pPr>
    </w:p>
    <w:p w:rsidR="0085709C" w:rsidRDefault="0085709C" w:rsidP="0085709C">
      <w:pPr>
        <w:pStyle w:val="ListParagraph"/>
        <w:numPr>
          <w:ilvl w:val="0"/>
          <w:numId w:val="8"/>
        </w:numPr>
        <w:spacing w:after="200"/>
        <w:jc w:val="both"/>
        <w:rPr>
          <w:rFonts w:ascii="Arial" w:hAnsi="Arial" w:cs="Arial"/>
          <w:lang w:val="es-ES"/>
        </w:rPr>
      </w:pPr>
      <w:r w:rsidRPr="00C243C9">
        <w:rPr>
          <w:rFonts w:ascii="Arial" w:hAnsi="Arial" w:cs="Arial"/>
          <w:lang w:val="es-ES"/>
        </w:rPr>
        <w:t>Colaboramos</w:t>
      </w:r>
      <w:r w:rsidR="00842808">
        <w:rPr>
          <w:rFonts w:ascii="Arial" w:hAnsi="Arial" w:cs="Arial"/>
          <w:lang w:val="es-ES"/>
        </w:rPr>
        <w:t>,</w:t>
      </w:r>
      <w:r w:rsidRPr="00C243C9">
        <w:rPr>
          <w:rFonts w:ascii="Arial" w:hAnsi="Arial" w:cs="Arial"/>
          <w:lang w:val="es-ES"/>
        </w:rPr>
        <w:t xml:space="preserve"> junto al Departamento de Agricultura,</w:t>
      </w:r>
      <w:r>
        <w:rPr>
          <w:rFonts w:ascii="Arial" w:hAnsi="Arial" w:cs="Arial"/>
          <w:lang w:val="es-ES"/>
        </w:rPr>
        <w:t xml:space="preserve"> </w:t>
      </w:r>
      <w:r w:rsidRPr="00C243C9">
        <w:rPr>
          <w:rFonts w:ascii="Arial" w:hAnsi="Arial" w:cs="Arial"/>
          <w:lang w:val="es-ES"/>
        </w:rPr>
        <w:t xml:space="preserve">el Departamento de Desarrollo Económico y Rones de Puerto Rico para el establecimiento de un </w:t>
      </w:r>
      <w:r w:rsidR="00842808">
        <w:rPr>
          <w:rFonts w:ascii="Arial" w:hAnsi="Arial" w:cs="Arial"/>
          <w:lang w:val="es-ES"/>
        </w:rPr>
        <w:t>Programa Agroindustrial para la S</w:t>
      </w:r>
      <w:r w:rsidRPr="00C243C9">
        <w:rPr>
          <w:rFonts w:ascii="Arial" w:hAnsi="Arial" w:cs="Arial"/>
          <w:lang w:val="es-ES"/>
        </w:rPr>
        <w:t xml:space="preserve">iembra y </w:t>
      </w:r>
      <w:r w:rsidR="00842808">
        <w:rPr>
          <w:rFonts w:ascii="Arial" w:hAnsi="Arial" w:cs="Arial"/>
          <w:lang w:val="es-ES"/>
        </w:rPr>
        <w:t>P</w:t>
      </w:r>
      <w:r w:rsidRPr="00C243C9">
        <w:rPr>
          <w:rFonts w:ascii="Arial" w:hAnsi="Arial" w:cs="Arial"/>
          <w:lang w:val="es-ES"/>
        </w:rPr>
        <w:t xml:space="preserve">rocesamiento de </w:t>
      </w:r>
      <w:r w:rsidR="00842808">
        <w:rPr>
          <w:rFonts w:ascii="Arial" w:hAnsi="Arial" w:cs="Arial"/>
          <w:lang w:val="es-ES"/>
        </w:rPr>
        <w:t>C</w:t>
      </w:r>
      <w:r w:rsidR="00865BD0">
        <w:rPr>
          <w:rFonts w:ascii="Arial" w:hAnsi="Arial" w:cs="Arial"/>
          <w:lang w:val="es-ES"/>
        </w:rPr>
        <w:t>aña de A</w:t>
      </w:r>
      <w:r w:rsidRPr="00C243C9">
        <w:rPr>
          <w:rFonts w:ascii="Arial" w:hAnsi="Arial" w:cs="Arial"/>
          <w:lang w:val="es-ES"/>
        </w:rPr>
        <w:t xml:space="preserve">zúcar para la producción de mieles y alcohol para </w:t>
      </w:r>
      <w:r>
        <w:rPr>
          <w:rFonts w:ascii="Arial" w:hAnsi="Arial" w:cs="Arial"/>
          <w:lang w:val="es-ES"/>
        </w:rPr>
        <w:t>utilizarse</w:t>
      </w:r>
      <w:r w:rsidRPr="00C243C9">
        <w:rPr>
          <w:rFonts w:ascii="Arial" w:hAnsi="Arial" w:cs="Arial"/>
          <w:lang w:val="es-ES"/>
        </w:rPr>
        <w:t xml:space="preserve"> como materia prima para la elaboración de rones en P</w:t>
      </w:r>
      <w:r>
        <w:rPr>
          <w:rFonts w:ascii="Arial" w:hAnsi="Arial" w:cs="Arial"/>
          <w:lang w:val="es-ES"/>
        </w:rPr>
        <w:t>uerto Rico</w:t>
      </w:r>
      <w:r w:rsidRPr="00C243C9">
        <w:rPr>
          <w:rFonts w:ascii="Arial" w:hAnsi="Arial" w:cs="Arial"/>
          <w:lang w:val="es-ES"/>
        </w:rPr>
        <w:t xml:space="preserve">.  </w:t>
      </w:r>
      <w:r>
        <w:rPr>
          <w:rFonts w:ascii="Arial" w:hAnsi="Arial" w:cs="Arial"/>
          <w:lang w:val="es-ES"/>
        </w:rPr>
        <w:t>Como parte de este P</w:t>
      </w:r>
      <w:r w:rsidRPr="00C243C9">
        <w:rPr>
          <w:rFonts w:ascii="Arial" w:hAnsi="Arial" w:cs="Arial"/>
          <w:lang w:val="es-ES"/>
        </w:rPr>
        <w:t>royecto se estableció el semillero de caña de azúcar que se</w:t>
      </w:r>
      <w:r>
        <w:rPr>
          <w:rFonts w:ascii="Arial" w:hAnsi="Arial" w:cs="Arial"/>
          <w:lang w:val="es-ES"/>
        </w:rPr>
        <w:t>r</w:t>
      </w:r>
      <w:r w:rsidRPr="00C243C9">
        <w:rPr>
          <w:rFonts w:ascii="Arial" w:hAnsi="Arial" w:cs="Arial"/>
          <w:lang w:val="es-ES"/>
        </w:rPr>
        <w:t xml:space="preserve">virá de base para la siembra de caña a desarrollarse por las Empresas </w:t>
      </w:r>
      <w:proofErr w:type="spellStart"/>
      <w:r w:rsidRPr="00C243C9">
        <w:rPr>
          <w:rFonts w:ascii="Arial" w:hAnsi="Arial" w:cs="Arial"/>
          <w:lang w:val="es-ES"/>
        </w:rPr>
        <w:t>Serrallés</w:t>
      </w:r>
      <w:proofErr w:type="spellEnd"/>
      <w:r w:rsidRPr="00C243C9">
        <w:rPr>
          <w:rFonts w:ascii="Arial" w:hAnsi="Arial" w:cs="Arial"/>
          <w:lang w:val="es-ES"/>
        </w:rPr>
        <w:t xml:space="preserve">. </w:t>
      </w:r>
      <w:r>
        <w:rPr>
          <w:rFonts w:ascii="Arial" w:hAnsi="Arial" w:cs="Arial"/>
          <w:lang w:val="es-ES"/>
        </w:rPr>
        <w:t xml:space="preserve"> </w:t>
      </w:r>
      <w:r w:rsidRPr="00C243C9">
        <w:rPr>
          <w:rFonts w:ascii="Arial" w:hAnsi="Arial" w:cs="Arial"/>
          <w:lang w:val="es-ES"/>
        </w:rPr>
        <w:t>Se han sembrado alrededor de 900 cuerdas y se espera sembrar unas 100 adicionales.</w:t>
      </w:r>
    </w:p>
    <w:p w:rsidR="00865BD0" w:rsidRPr="00C243C9" w:rsidRDefault="00865BD0" w:rsidP="00865BD0">
      <w:pPr>
        <w:pStyle w:val="ListParagraph"/>
        <w:spacing w:after="200"/>
        <w:ind w:left="432"/>
        <w:jc w:val="both"/>
        <w:rPr>
          <w:rFonts w:ascii="Arial" w:hAnsi="Arial" w:cs="Arial"/>
          <w:lang w:val="es-ES"/>
        </w:rPr>
      </w:pPr>
    </w:p>
    <w:p w:rsidR="0085709C" w:rsidRDefault="0085709C" w:rsidP="0085709C">
      <w:pPr>
        <w:pStyle w:val="ListParagraph"/>
        <w:numPr>
          <w:ilvl w:val="0"/>
          <w:numId w:val="8"/>
        </w:numPr>
        <w:jc w:val="both"/>
        <w:rPr>
          <w:rFonts w:ascii="Arial" w:hAnsi="Arial" w:cs="Arial"/>
          <w:lang w:val="es-ES"/>
        </w:rPr>
      </w:pPr>
      <w:r w:rsidRPr="00C243C9">
        <w:rPr>
          <w:rFonts w:ascii="Arial" w:hAnsi="Arial" w:cs="Arial"/>
          <w:lang w:val="es-ES"/>
        </w:rPr>
        <w:lastRenderedPageBreak/>
        <w:t xml:space="preserve">Se sentaron las bases para el Proyecto de Arroz, que actualmente desarrolla FIDA. </w:t>
      </w:r>
      <w:r>
        <w:rPr>
          <w:rFonts w:ascii="Arial" w:hAnsi="Arial" w:cs="Arial"/>
          <w:lang w:val="es-ES"/>
        </w:rPr>
        <w:t xml:space="preserve"> </w:t>
      </w:r>
      <w:r w:rsidRPr="00C243C9">
        <w:rPr>
          <w:rFonts w:ascii="Arial" w:hAnsi="Arial" w:cs="Arial"/>
          <w:lang w:val="es-ES"/>
        </w:rPr>
        <w:t xml:space="preserve">Así, el arroz integral sembrado en Puerto Rico apuntala la seguridad alimentaria de los puertorriqueños. </w:t>
      </w:r>
    </w:p>
    <w:p w:rsidR="00865BD0" w:rsidRPr="00865BD0" w:rsidRDefault="00865BD0" w:rsidP="00865BD0">
      <w:pPr>
        <w:pStyle w:val="ListParagraph"/>
        <w:rPr>
          <w:rFonts w:ascii="Arial" w:hAnsi="Arial" w:cs="Arial"/>
          <w:lang w:val="es-ES"/>
        </w:rPr>
      </w:pPr>
    </w:p>
    <w:p w:rsidR="00865BD0" w:rsidRPr="00865BD0" w:rsidRDefault="00865BD0" w:rsidP="00865BD0">
      <w:pPr>
        <w:pStyle w:val="ListParagraph"/>
        <w:numPr>
          <w:ilvl w:val="0"/>
          <w:numId w:val="8"/>
        </w:numPr>
        <w:jc w:val="both"/>
        <w:rPr>
          <w:rFonts w:ascii="Arial" w:hAnsi="Arial" w:cs="Arial"/>
          <w:lang w:val="es-PR"/>
        </w:rPr>
      </w:pPr>
      <w:r w:rsidRPr="00865BD0">
        <w:rPr>
          <w:rFonts w:ascii="Arial" w:hAnsi="Arial" w:cs="Arial"/>
          <w:lang w:val="es-ES"/>
        </w:rPr>
        <w:t xml:space="preserve">Como parte de un nuevo concepto educativo se </w:t>
      </w:r>
      <w:r w:rsidRPr="00865BD0">
        <w:rPr>
          <w:rFonts w:ascii="Arial" w:hAnsi="Arial" w:cs="Arial"/>
          <w:lang w:val="es-PR"/>
        </w:rPr>
        <w:t>estableció el Proyecto Agro Juvenil 2.0.  Éste tiene la tarea de impactar las escuelas del País para promover la enseñanza de ciencias y matemáticas usando como herramienta el desarrollo de huertos escolares, con el propósito de suscitar el desarrollo de comunidades escolares con destrezas de trabajo en la agricultura, informadas sobre el reto de seguridad alimentaria del País, con opciones para promover la nutrición y conductas saludables entre sus miembros, y con posibilidad de aportar activamente al desarrollo de la agricultura en Puerto Rico.  Al 30 de junio de 2016 se habían impactado 302 escuelas y unos 23,592 estudiantes.</w:t>
      </w:r>
    </w:p>
    <w:p w:rsidR="0085709C" w:rsidRPr="00C243C9" w:rsidRDefault="0085709C" w:rsidP="0085709C">
      <w:pPr>
        <w:jc w:val="both"/>
        <w:rPr>
          <w:rFonts w:ascii="Arial" w:hAnsi="Arial" w:cs="Arial"/>
          <w:lang w:val="es-PR"/>
        </w:rPr>
      </w:pPr>
    </w:p>
    <w:p w:rsidR="0085709C" w:rsidRPr="00C243C9" w:rsidRDefault="0085709C" w:rsidP="0085709C">
      <w:pPr>
        <w:pStyle w:val="ListParagraph"/>
        <w:numPr>
          <w:ilvl w:val="0"/>
          <w:numId w:val="8"/>
        </w:numPr>
        <w:jc w:val="both"/>
        <w:rPr>
          <w:rFonts w:ascii="Arial" w:hAnsi="Arial" w:cs="Arial"/>
          <w:lang w:val="es-PR"/>
        </w:rPr>
      </w:pPr>
      <w:r w:rsidRPr="00C243C9">
        <w:rPr>
          <w:rFonts w:ascii="Arial" w:hAnsi="Arial" w:cs="Arial"/>
          <w:lang w:val="es-PR"/>
        </w:rPr>
        <w:t>Se creó la Oficina de Asuntos Ambientales en el Departamento de Operaciones de Campo.</w:t>
      </w:r>
      <w:r>
        <w:rPr>
          <w:rFonts w:ascii="Arial" w:hAnsi="Arial" w:cs="Arial"/>
          <w:lang w:val="es-PR"/>
        </w:rPr>
        <w:t xml:space="preserve"> </w:t>
      </w:r>
      <w:r w:rsidRPr="00C243C9">
        <w:rPr>
          <w:rFonts w:ascii="Arial" w:hAnsi="Arial" w:cs="Arial"/>
          <w:lang w:val="es-PR"/>
        </w:rPr>
        <w:t xml:space="preserve"> De esta manera se nombró un abogado especializado en asuntos ambientales que se dedica exclusivamente a atender estos asuntos con el peritaje necesario para reducir significativamente los riesgos de la agencia.</w:t>
      </w:r>
    </w:p>
    <w:p w:rsidR="0085709C" w:rsidRPr="00C243C9" w:rsidRDefault="0085709C" w:rsidP="0085709C">
      <w:pPr>
        <w:jc w:val="both"/>
        <w:rPr>
          <w:rFonts w:ascii="Arial" w:hAnsi="Arial" w:cs="Arial"/>
          <w:lang w:val="es-PR"/>
        </w:rPr>
      </w:pPr>
    </w:p>
    <w:p w:rsidR="0085709C" w:rsidRPr="00335292" w:rsidRDefault="0085709C" w:rsidP="0085709C">
      <w:pPr>
        <w:pStyle w:val="ListParagraph"/>
        <w:numPr>
          <w:ilvl w:val="0"/>
          <w:numId w:val="8"/>
        </w:numPr>
        <w:jc w:val="both"/>
        <w:rPr>
          <w:rFonts w:ascii="Arial" w:hAnsi="Arial" w:cs="Arial"/>
          <w:lang w:val="es-PR"/>
        </w:rPr>
      </w:pPr>
      <w:r w:rsidRPr="00C243C9">
        <w:rPr>
          <w:rFonts w:ascii="Arial" w:hAnsi="Arial" w:cs="Arial"/>
          <w:lang w:val="es-PR"/>
        </w:rPr>
        <w:t>Se redujo la plantilla de la agencia en un 14%.</w:t>
      </w:r>
      <w:r w:rsidR="00865BD0">
        <w:rPr>
          <w:rFonts w:ascii="Arial" w:hAnsi="Arial" w:cs="Arial"/>
          <w:lang w:val="es-PR"/>
        </w:rPr>
        <w:t xml:space="preserve">  </w:t>
      </w:r>
      <w:r w:rsidRPr="00335292">
        <w:rPr>
          <w:rFonts w:ascii="Arial" w:hAnsi="Arial" w:cs="Arial"/>
          <w:lang w:val="es-PR"/>
        </w:rPr>
        <w:t xml:space="preserve">Esto ha representado una reducción en nómina de </w:t>
      </w:r>
      <w:r w:rsidR="005C0328">
        <w:rPr>
          <w:rFonts w:ascii="Arial" w:hAnsi="Arial" w:cs="Arial"/>
          <w:lang w:val="es-PR"/>
        </w:rPr>
        <w:t>$1, 938,223.00 anual.</w:t>
      </w:r>
      <w:r w:rsidRPr="00335292">
        <w:rPr>
          <w:rFonts w:ascii="Arial" w:hAnsi="Arial" w:cs="Arial"/>
          <w:lang w:val="es-PR"/>
        </w:rPr>
        <w:t xml:space="preserve"> </w:t>
      </w:r>
    </w:p>
    <w:p w:rsidR="0085709C" w:rsidRPr="00335292" w:rsidRDefault="0085709C" w:rsidP="0085709C">
      <w:pPr>
        <w:jc w:val="both"/>
        <w:rPr>
          <w:rFonts w:ascii="Arial" w:hAnsi="Arial" w:cs="Arial"/>
          <w:lang w:val="es-PR"/>
        </w:rPr>
      </w:pPr>
    </w:p>
    <w:p w:rsidR="0085709C" w:rsidRPr="00C243C9" w:rsidRDefault="0085709C" w:rsidP="0085709C">
      <w:pPr>
        <w:pStyle w:val="ListParagraph"/>
        <w:numPr>
          <w:ilvl w:val="0"/>
          <w:numId w:val="8"/>
        </w:numPr>
        <w:jc w:val="both"/>
        <w:rPr>
          <w:rFonts w:ascii="Arial" w:hAnsi="Arial" w:cs="Arial"/>
          <w:lang w:val="es-ES"/>
        </w:rPr>
      </w:pPr>
      <w:r w:rsidRPr="00C243C9">
        <w:rPr>
          <w:rFonts w:ascii="Arial" w:hAnsi="Arial" w:cs="Arial"/>
          <w:lang w:val="es-PR"/>
        </w:rPr>
        <w:t>Se reinició la limpieza y mantenimiento de canales de riego, la cual había sido abandonada por administraciones pasadas, habiéndose reacondicionado múltiples fincas las cuales pusimos a disposición de nuestros agricultores.</w:t>
      </w:r>
    </w:p>
    <w:p w:rsidR="0085709C" w:rsidRPr="00C243C9" w:rsidRDefault="0085709C" w:rsidP="0085709C">
      <w:pPr>
        <w:pStyle w:val="ListParagraph"/>
        <w:jc w:val="both"/>
        <w:rPr>
          <w:rFonts w:ascii="Arial" w:hAnsi="Arial" w:cs="Arial"/>
          <w:lang w:val="es-ES"/>
        </w:rPr>
      </w:pPr>
    </w:p>
    <w:p w:rsidR="0085709C" w:rsidRPr="00C243C9" w:rsidRDefault="0085709C" w:rsidP="0085709C">
      <w:pPr>
        <w:pStyle w:val="ListParagraph"/>
        <w:numPr>
          <w:ilvl w:val="0"/>
          <w:numId w:val="8"/>
        </w:numPr>
        <w:jc w:val="both"/>
        <w:rPr>
          <w:rFonts w:ascii="Arial" w:hAnsi="Arial" w:cs="Arial"/>
          <w:lang w:val="es-ES"/>
        </w:rPr>
      </w:pPr>
      <w:r w:rsidRPr="00C243C9">
        <w:rPr>
          <w:rFonts w:ascii="Arial" w:hAnsi="Arial" w:cs="Arial"/>
          <w:lang w:val="es-ES"/>
        </w:rPr>
        <w:t>Se lograron otorgar</w:t>
      </w:r>
      <w:r w:rsidR="00865BD0">
        <w:rPr>
          <w:rFonts w:ascii="Arial" w:hAnsi="Arial" w:cs="Arial"/>
          <w:lang w:val="es-ES"/>
        </w:rPr>
        <w:t>,</w:t>
      </w:r>
      <w:r w:rsidRPr="00C243C9">
        <w:rPr>
          <w:rFonts w:ascii="Arial" w:hAnsi="Arial" w:cs="Arial"/>
          <w:lang w:val="es-ES"/>
        </w:rPr>
        <w:t xml:space="preserve"> a</w:t>
      </w:r>
      <w:r>
        <w:rPr>
          <w:rFonts w:ascii="Arial" w:hAnsi="Arial" w:cs="Arial"/>
          <w:lang w:val="es-ES"/>
        </w:rPr>
        <w:t xml:space="preserve"> </w:t>
      </w:r>
      <w:r w:rsidRPr="00C243C9">
        <w:rPr>
          <w:rFonts w:ascii="Arial" w:hAnsi="Arial" w:cs="Arial"/>
          <w:lang w:val="es-ES"/>
        </w:rPr>
        <w:t>través</w:t>
      </w:r>
      <w:r>
        <w:rPr>
          <w:rFonts w:ascii="Arial" w:hAnsi="Arial" w:cs="Arial"/>
          <w:lang w:val="es-ES"/>
        </w:rPr>
        <w:t xml:space="preserve"> del P</w:t>
      </w:r>
      <w:r w:rsidRPr="00C243C9">
        <w:rPr>
          <w:rFonts w:ascii="Arial" w:hAnsi="Arial" w:cs="Arial"/>
          <w:lang w:val="es-ES"/>
        </w:rPr>
        <w:t xml:space="preserve">rograma de </w:t>
      </w:r>
      <w:r>
        <w:rPr>
          <w:rFonts w:ascii="Arial" w:hAnsi="Arial" w:cs="Arial"/>
          <w:lang w:val="es-ES"/>
        </w:rPr>
        <w:t>F</w:t>
      </w:r>
      <w:r w:rsidRPr="00C243C9">
        <w:rPr>
          <w:rFonts w:ascii="Arial" w:hAnsi="Arial" w:cs="Arial"/>
          <w:lang w:val="es-ES"/>
        </w:rPr>
        <w:t xml:space="preserve">incas </w:t>
      </w:r>
      <w:r>
        <w:rPr>
          <w:rFonts w:ascii="Arial" w:hAnsi="Arial" w:cs="Arial"/>
          <w:lang w:val="es-ES"/>
        </w:rPr>
        <w:t>F</w:t>
      </w:r>
      <w:r w:rsidRPr="00C243C9">
        <w:rPr>
          <w:rFonts w:ascii="Arial" w:hAnsi="Arial" w:cs="Arial"/>
          <w:lang w:val="es-ES"/>
        </w:rPr>
        <w:t>amiliares 119 títulos de propiedad y se arrendaron 39 fincas adicionales.</w:t>
      </w:r>
    </w:p>
    <w:p w:rsidR="0085709C" w:rsidRPr="00C243C9" w:rsidRDefault="0085709C" w:rsidP="0085709C">
      <w:pPr>
        <w:pStyle w:val="ListParagraph"/>
        <w:jc w:val="both"/>
        <w:rPr>
          <w:rFonts w:ascii="Arial" w:hAnsi="Arial" w:cs="Arial"/>
          <w:lang w:val="es-ES"/>
        </w:rPr>
      </w:pPr>
    </w:p>
    <w:p w:rsidR="0085709C" w:rsidRPr="00C243C9" w:rsidRDefault="0085709C" w:rsidP="0085709C">
      <w:pPr>
        <w:pStyle w:val="ListParagraph"/>
        <w:numPr>
          <w:ilvl w:val="0"/>
          <w:numId w:val="8"/>
        </w:numPr>
        <w:jc w:val="both"/>
        <w:rPr>
          <w:rFonts w:ascii="Arial" w:hAnsi="Arial" w:cs="Arial"/>
          <w:lang w:val="es-ES"/>
        </w:rPr>
      </w:pPr>
      <w:r w:rsidRPr="00C243C9">
        <w:rPr>
          <w:rFonts w:ascii="Arial" w:hAnsi="Arial" w:cs="Arial"/>
          <w:lang w:val="es-ES"/>
        </w:rPr>
        <w:t>Se estableció un programa de digitalización de nuestra</w:t>
      </w:r>
      <w:r>
        <w:rPr>
          <w:rFonts w:ascii="Arial" w:hAnsi="Arial" w:cs="Arial"/>
          <w:lang w:val="es-ES"/>
        </w:rPr>
        <w:t>s</w:t>
      </w:r>
      <w:r w:rsidRPr="00C243C9">
        <w:rPr>
          <w:rFonts w:ascii="Arial" w:hAnsi="Arial" w:cs="Arial"/>
          <w:lang w:val="es-ES"/>
        </w:rPr>
        <w:t xml:space="preserve"> fincas a</w:t>
      </w:r>
      <w:r>
        <w:rPr>
          <w:rFonts w:ascii="Arial" w:hAnsi="Arial" w:cs="Arial"/>
          <w:lang w:val="es-ES"/>
        </w:rPr>
        <w:t xml:space="preserve"> </w:t>
      </w:r>
      <w:r w:rsidRPr="00C243C9">
        <w:rPr>
          <w:rFonts w:ascii="Arial" w:hAnsi="Arial" w:cs="Arial"/>
          <w:lang w:val="es-ES"/>
        </w:rPr>
        <w:t>través de un sistema de GIS que nos permite ac</w:t>
      </w:r>
      <w:r>
        <w:rPr>
          <w:rFonts w:ascii="Arial" w:hAnsi="Arial" w:cs="Arial"/>
          <w:lang w:val="es-ES"/>
        </w:rPr>
        <w:t>ceder a la in</w:t>
      </w:r>
      <w:r w:rsidRPr="00C243C9">
        <w:rPr>
          <w:rFonts w:ascii="Arial" w:hAnsi="Arial" w:cs="Arial"/>
          <w:lang w:val="es-ES"/>
        </w:rPr>
        <w:t>fo</w:t>
      </w:r>
      <w:r>
        <w:rPr>
          <w:rFonts w:ascii="Arial" w:hAnsi="Arial" w:cs="Arial"/>
          <w:lang w:val="es-ES"/>
        </w:rPr>
        <w:t>r</w:t>
      </w:r>
      <w:r w:rsidRPr="00C243C9">
        <w:rPr>
          <w:rFonts w:ascii="Arial" w:hAnsi="Arial" w:cs="Arial"/>
          <w:lang w:val="es-ES"/>
        </w:rPr>
        <w:t>mación de las propiedades a</w:t>
      </w:r>
      <w:r>
        <w:rPr>
          <w:rFonts w:ascii="Arial" w:hAnsi="Arial" w:cs="Arial"/>
          <w:lang w:val="es-ES"/>
        </w:rPr>
        <w:t xml:space="preserve"> </w:t>
      </w:r>
      <w:r w:rsidRPr="00C243C9">
        <w:rPr>
          <w:rFonts w:ascii="Arial" w:hAnsi="Arial" w:cs="Arial"/>
          <w:lang w:val="es-ES"/>
        </w:rPr>
        <w:t>través de internet.</w:t>
      </w:r>
    </w:p>
    <w:p w:rsidR="0085709C" w:rsidRPr="00C243C9" w:rsidRDefault="0085709C" w:rsidP="0085709C">
      <w:pPr>
        <w:pStyle w:val="ListParagraph"/>
        <w:jc w:val="both"/>
        <w:rPr>
          <w:rFonts w:ascii="Arial" w:hAnsi="Arial" w:cs="Arial"/>
          <w:lang w:val="es-ES"/>
        </w:rPr>
      </w:pPr>
    </w:p>
    <w:sectPr w:rsidR="0085709C" w:rsidRPr="00C243C9" w:rsidSect="0072580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AF8" w:rsidRDefault="008F2AF8" w:rsidP="00B747C9">
      <w:r>
        <w:separator/>
      </w:r>
    </w:p>
  </w:endnote>
  <w:endnote w:type="continuationSeparator" w:id="0">
    <w:p w:rsidR="008F2AF8" w:rsidRDefault="008F2AF8" w:rsidP="00B7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132" w:rsidRDefault="00AD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23" w:rsidRPr="00F64D9B" w:rsidRDefault="001E07B0" w:rsidP="00725808">
    <w:pPr>
      <w:jc w:val="right"/>
    </w:pPr>
    <w:r>
      <w:t xml:space="preserve">                                                                                                                                                           </w:t>
    </w:r>
  </w:p>
  <w:p w:rsidR="00D4634F" w:rsidRDefault="00850EC9">
    <w:pPr>
      <w:pStyle w:val="Footer"/>
    </w:pPr>
  </w:p>
  <w:p w:rsidR="00614094" w:rsidRPr="008211EA" w:rsidRDefault="001E07B0">
    <w:pPr>
      <w:pStyle w:val="Footer"/>
      <w:rPr>
        <w:color w:val="FFFFFF"/>
        <w:sz w:val="2"/>
        <w:szCs w:val="2"/>
      </w:rPr>
    </w:pPr>
    <w:r w:rsidRPr="008211EA">
      <w:rPr>
        <w:color w:val="FFFFFF"/>
        <w:sz w:val="2"/>
        <w:szCs w:val="2"/>
      </w:rPr>
      <w:t>FHA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132" w:rsidRDefault="00AD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AF8" w:rsidRDefault="008F2AF8" w:rsidP="00B747C9">
      <w:r>
        <w:separator/>
      </w:r>
    </w:p>
  </w:footnote>
  <w:footnote w:type="continuationSeparator" w:id="0">
    <w:p w:rsidR="008F2AF8" w:rsidRDefault="008F2AF8" w:rsidP="00B74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132" w:rsidRDefault="00AD11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132" w:rsidRDefault="00AD11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132" w:rsidRDefault="00AD11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5C4"/>
    <w:multiLevelType w:val="hybridMultilevel"/>
    <w:tmpl w:val="2C0C4ED0"/>
    <w:lvl w:ilvl="0" w:tplc="E96EA5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368CA"/>
    <w:multiLevelType w:val="hybridMultilevel"/>
    <w:tmpl w:val="C024C9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1B5E78"/>
    <w:multiLevelType w:val="hybridMultilevel"/>
    <w:tmpl w:val="3202E1E8"/>
    <w:lvl w:ilvl="0" w:tplc="50F676E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826384"/>
    <w:multiLevelType w:val="hybridMultilevel"/>
    <w:tmpl w:val="234C7016"/>
    <w:lvl w:ilvl="0" w:tplc="5CFA64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E45E54"/>
    <w:multiLevelType w:val="hybridMultilevel"/>
    <w:tmpl w:val="2A7AE75C"/>
    <w:lvl w:ilvl="0" w:tplc="0409000F">
      <w:start w:val="1"/>
      <w:numFmt w:val="decimal"/>
      <w:lvlText w:val="%1."/>
      <w:lvlJc w:val="left"/>
      <w:pPr>
        <w:ind w:left="10080" w:hanging="360"/>
      </w:pPr>
    </w:lvl>
    <w:lvl w:ilvl="1" w:tplc="04090019">
      <w:start w:val="1"/>
      <w:numFmt w:val="lowerLetter"/>
      <w:lvlText w:val="%2."/>
      <w:lvlJc w:val="left"/>
      <w:pPr>
        <w:ind w:left="10800" w:hanging="360"/>
      </w:pPr>
    </w:lvl>
    <w:lvl w:ilvl="2" w:tplc="0409001B">
      <w:start w:val="1"/>
      <w:numFmt w:val="lowerRoman"/>
      <w:lvlText w:val="%3."/>
      <w:lvlJc w:val="right"/>
      <w:pPr>
        <w:ind w:left="11520" w:hanging="180"/>
      </w:pPr>
    </w:lvl>
    <w:lvl w:ilvl="3" w:tplc="0409000F">
      <w:start w:val="1"/>
      <w:numFmt w:val="decimal"/>
      <w:lvlText w:val="%4."/>
      <w:lvlJc w:val="left"/>
      <w:pPr>
        <w:ind w:left="12240" w:hanging="360"/>
      </w:pPr>
    </w:lvl>
    <w:lvl w:ilvl="4" w:tplc="04090019">
      <w:start w:val="1"/>
      <w:numFmt w:val="lowerLetter"/>
      <w:lvlText w:val="%5."/>
      <w:lvlJc w:val="left"/>
      <w:pPr>
        <w:ind w:left="12960" w:hanging="360"/>
      </w:pPr>
    </w:lvl>
    <w:lvl w:ilvl="5" w:tplc="0409001B">
      <w:start w:val="1"/>
      <w:numFmt w:val="lowerRoman"/>
      <w:lvlText w:val="%6."/>
      <w:lvlJc w:val="right"/>
      <w:pPr>
        <w:ind w:left="13680" w:hanging="180"/>
      </w:pPr>
    </w:lvl>
    <w:lvl w:ilvl="6" w:tplc="0409000F">
      <w:start w:val="1"/>
      <w:numFmt w:val="decimal"/>
      <w:lvlText w:val="%7."/>
      <w:lvlJc w:val="left"/>
      <w:pPr>
        <w:ind w:left="14400" w:hanging="360"/>
      </w:pPr>
    </w:lvl>
    <w:lvl w:ilvl="7" w:tplc="04090019">
      <w:start w:val="1"/>
      <w:numFmt w:val="lowerLetter"/>
      <w:lvlText w:val="%8."/>
      <w:lvlJc w:val="left"/>
      <w:pPr>
        <w:ind w:left="15120" w:hanging="360"/>
      </w:pPr>
    </w:lvl>
    <w:lvl w:ilvl="8" w:tplc="0409001B">
      <w:start w:val="1"/>
      <w:numFmt w:val="lowerRoman"/>
      <w:lvlText w:val="%9."/>
      <w:lvlJc w:val="right"/>
      <w:pPr>
        <w:ind w:left="15840" w:hanging="180"/>
      </w:pPr>
    </w:lvl>
  </w:abstractNum>
  <w:abstractNum w:abstractNumId="5">
    <w:nsid w:val="6C996DFC"/>
    <w:multiLevelType w:val="hybridMultilevel"/>
    <w:tmpl w:val="7C34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DD5D6D"/>
    <w:multiLevelType w:val="hybridMultilevel"/>
    <w:tmpl w:val="84DC91E8"/>
    <w:lvl w:ilvl="0" w:tplc="0409000F">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26566B9"/>
    <w:multiLevelType w:val="hybridMultilevel"/>
    <w:tmpl w:val="B128F82A"/>
    <w:lvl w:ilvl="0" w:tplc="50F676E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AA4895"/>
    <w:multiLevelType w:val="hybridMultilevel"/>
    <w:tmpl w:val="8A80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01371A"/>
    <w:multiLevelType w:val="hybridMultilevel"/>
    <w:tmpl w:val="727454D4"/>
    <w:lvl w:ilvl="0" w:tplc="F2BE07D2">
      <w:numFmt w:val="bullet"/>
      <w:lvlText w:val=""/>
      <w:lvlJc w:val="left"/>
      <w:pPr>
        <w:ind w:left="432" w:hanging="360"/>
      </w:pPr>
      <w:rPr>
        <w:rFonts w:ascii="Symbol" w:eastAsiaTheme="minorEastAsia" w:hAnsi="Symbo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7"/>
  </w:num>
  <w:num w:numId="6">
    <w:abstractNumId w:val="8"/>
  </w:num>
  <w:num w:numId="7">
    <w:abstractNumId w:val="5"/>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FFA"/>
    <w:rsid w:val="0001315E"/>
    <w:rsid w:val="00033FB4"/>
    <w:rsid w:val="00035239"/>
    <w:rsid w:val="00037F47"/>
    <w:rsid w:val="00040FEB"/>
    <w:rsid w:val="00044F0E"/>
    <w:rsid w:val="00062C25"/>
    <w:rsid w:val="000B4767"/>
    <w:rsid w:val="000C19FB"/>
    <w:rsid w:val="000D58B3"/>
    <w:rsid w:val="000E15BC"/>
    <w:rsid w:val="000F6A76"/>
    <w:rsid w:val="00137CA5"/>
    <w:rsid w:val="001471BB"/>
    <w:rsid w:val="0016293D"/>
    <w:rsid w:val="001671B0"/>
    <w:rsid w:val="00173ABB"/>
    <w:rsid w:val="00180DC4"/>
    <w:rsid w:val="001A2A6A"/>
    <w:rsid w:val="001A38D7"/>
    <w:rsid w:val="001A77BF"/>
    <w:rsid w:val="001D0404"/>
    <w:rsid w:val="001D43C6"/>
    <w:rsid w:val="001E07B0"/>
    <w:rsid w:val="001E33C7"/>
    <w:rsid w:val="002032C1"/>
    <w:rsid w:val="00242E20"/>
    <w:rsid w:val="00251035"/>
    <w:rsid w:val="002634F3"/>
    <w:rsid w:val="00285C0D"/>
    <w:rsid w:val="00292061"/>
    <w:rsid w:val="002947BF"/>
    <w:rsid w:val="002A6238"/>
    <w:rsid w:val="002E0E26"/>
    <w:rsid w:val="002F1154"/>
    <w:rsid w:val="002F52DA"/>
    <w:rsid w:val="002F57B2"/>
    <w:rsid w:val="00301C54"/>
    <w:rsid w:val="003156D2"/>
    <w:rsid w:val="003232CC"/>
    <w:rsid w:val="00324378"/>
    <w:rsid w:val="00333404"/>
    <w:rsid w:val="00374508"/>
    <w:rsid w:val="00381B9A"/>
    <w:rsid w:val="003854BC"/>
    <w:rsid w:val="003A61E1"/>
    <w:rsid w:val="003B3D9D"/>
    <w:rsid w:val="003C35F1"/>
    <w:rsid w:val="004007E2"/>
    <w:rsid w:val="00433742"/>
    <w:rsid w:val="00461D01"/>
    <w:rsid w:val="004701A2"/>
    <w:rsid w:val="004836DB"/>
    <w:rsid w:val="004B083B"/>
    <w:rsid w:val="004C6548"/>
    <w:rsid w:val="00511EE5"/>
    <w:rsid w:val="00527B8E"/>
    <w:rsid w:val="00542600"/>
    <w:rsid w:val="0055186E"/>
    <w:rsid w:val="005716A6"/>
    <w:rsid w:val="00590FFA"/>
    <w:rsid w:val="005C0328"/>
    <w:rsid w:val="005C4B38"/>
    <w:rsid w:val="005F3D90"/>
    <w:rsid w:val="005F54D5"/>
    <w:rsid w:val="006018BC"/>
    <w:rsid w:val="006025A3"/>
    <w:rsid w:val="00614F6E"/>
    <w:rsid w:val="00625416"/>
    <w:rsid w:val="0062682D"/>
    <w:rsid w:val="00636642"/>
    <w:rsid w:val="0067080A"/>
    <w:rsid w:val="0067109B"/>
    <w:rsid w:val="00681DF0"/>
    <w:rsid w:val="0068257A"/>
    <w:rsid w:val="0069625A"/>
    <w:rsid w:val="006A2BFC"/>
    <w:rsid w:val="006A59AE"/>
    <w:rsid w:val="006C7D52"/>
    <w:rsid w:val="006E0901"/>
    <w:rsid w:val="006E1D28"/>
    <w:rsid w:val="006E2C0D"/>
    <w:rsid w:val="006E6021"/>
    <w:rsid w:val="00713C62"/>
    <w:rsid w:val="00713EAE"/>
    <w:rsid w:val="00717C4D"/>
    <w:rsid w:val="00764CF2"/>
    <w:rsid w:val="00774E55"/>
    <w:rsid w:val="00795AE9"/>
    <w:rsid w:val="007B2532"/>
    <w:rsid w:val="007B3F41"/>
    <w:rsid w:val="007F5C0D"/>
    <w:rsid w:val="008407A8"/>
    <w:rsid w:val="00842808"/>
    <w:rsid w:val="0084441C"/>
    <w:rsid w:val="00850EC9"/>
    <w:rsid w:val="0085709C"/>
    <w:rsid w:val="00865BD0"/>
    <w:rsid w:val="00873D5A"/>
    <w:rsid w:val="008A56EE"/>
    <w:rsid w:val="008B51F1"/>
    <w:rsid w:val="008B70E8"/>
    <w:rsid w:val="008B73EF"/>
    <w:rsid w:val="008D7D01"/>
    <w:rsid w:val="008E4FFF"/>
    <w:rsid w:val="008F2AF8"/>
    <w:rsid w:val="008F7929"/>
    <w:rsid w:val="00912396"/>
    <w:rsid w:val="00914AB6"/>
    <w:rsid w:val="00927F79"/>
    <w:rsid w:val="009656BE"/>
    <w:rsid w:val="00970535"/>
    <w:rsid w:val="009A25D2"/>
    <w:rsid w:val="009B3F35"/>
    <w:rsid w:val="009E43C7"/>
    <w:rsid w:val="009F1791"/>
    <w:rsid w:val="009F5067"/>
    <w:rsid w:val="009F6CF1"/>
    <w:rsid w:val="00A22C2D"/>
    <w:rsid w:val="00A32327"/>
    <w:rsid w:val="00A5167F"/>
    <w:rsid w:val="00A856A3"/>
    <w:rsid w:val="00AA7F54"/>
    <w:rsid w:val="00AD1132"/>
    <w:rsid w:val="00AE0616"/>
    <w:rsid w:val="00B140D1"/>
    <w:rsid w:val="00B1541C"/>
    <w:rsid w:val="00B34640"/>
    <w:rsid w:val="00B51F44"/>
    <w:rsid w:val="00B579A1"/>
    <w:rsid w:val="00B747C9"/>
    <w:rsid w:val="00B97E3B"/>
    <w:rsid w:val="00BA543B"/>
    <w:rsid w:val="00BB03BB"/>
    <w:rsid w:val="00BB62FB"/>
    <w:rsid w:val="00BD6CE0"/>
    <w:rsid w:val="00BD7109"/>
    <w:rsid w:val="00BE6AE0"/>
    <w:rsid w:val="00C150FD"/>
    <w:rsid w:val="00C4523D"/>
    <w:rsid w:val="00C46FC5"/>
    <w:rsid w:val="00C511E3"/>
    <w:rsid w:val="00C701ED"/>
    <w:rsid w:val="00C83F6E"/>
    <w:rsid w:val="00CB0A1B"/>
    <w:rsid w:val="00CC08B2"/>
    <w:rsid w:val="00CD13E2"/>
    <w:rsid w:val="00CD4806"/>
    <w:rsid w:val="00D044A2"/>
    <w:rsid w:val="00D154F3"/>
    <w:rsid w:val="00D2388B"/>
    <w:rsid w:val="00D35267"/>
    <w:rsid w:val="00D45F25"/>
    <w:rsid w:val="00D5484A"/>
    <w:rsid w:val="00D54EB3"/>
    <w:rsid w:val="00D56143"/>
    <w:rsid w:val="00D600E0"/>
    <w:rsid w:val="00D777E7"/>
    <w:rsid w:val="00D86760"/>
    <w:rsid w:val="00DC31EA"/>
    <w:rsid w:val="00DE33CA"/>
    <w:rsid w:val="00DF238A"/>
    <w:rsid w:val="00E0023B"/>
    <w:rsid w:val="00E12CFD"/>
    <w:rsid w:val="00E14741"/>
    <w:rsid w:val="00E1583D"/>
    <w:rsid w:val="00E21110"/>
    <w:rsid w:val="00E21211"/>
    <w:rsid w:val="00E53839"/>
    <w:rsid w:val="00E62CA7"/>
    <w:rsid w:val="00E931C6"/>
    <w:rsid w:val="00EE60CB"/>
    <w:rsid w:val="00EF68A2"/>
    <w:rsid w:val="00F35D3E"/>
    <w:rsid w:val="00F42A5A"/>
    <w:rsid w:val="00F559C2"/>
    <w:rsid w:val="00F63D16"/>
    <w:rsid w:val="00F65C1B"/>
    <w:rsid w:val="00FB4C01"/>
    <w:rsid w:val="00FE580C"/>
    <w:rsid w:val="00FE61DC"/>
    <w:rsid w:val="00FF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6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682D"/>
    <w:pPr>
      <w:keepNext/>
      <w:tabs>
        <w:tab w:val="left" w:pos="6120"/>
      </w:tabs>
      <w:outlineLvl w:val="0"/>
    </w:pPr>
    <w:rPr>
      <w:b/>
      <w:bCs/>
      <w:sz w:val="25"/>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E0E26"/>
    <w:rPr>
      <w:i/>
      <w:iCs/>
    </w:rPr>
  </w:style>
  <w:style w:type="character" w:styleId="Strong">
    <w:name w:val="Strong"/>
    <w:basedOn w:val="DefaultParagraphFont"/>
    <w:uiPriority w:val="22"/>
    <w:qFormat/>
    <w:rsid w:val="002E0E26"/>
    <w:rPr>
      <w:b/>
      <w:bCs/>
    </w:rPr>
  </w:style>
  <w:style w:type="character" w:styleId="Hyperlink">
    <w:name w:val="Hyperlink"/>
    <w:basedOn w:val="DefaultParagraphFont"/>
    <w:uiPriority w:val="99"/>
    <w:unhideWhenUsed/>
    <w:rsid w:val="002E0E26"/>
    <w:rPr>
      <w:color w:val="0000FF"/>
      <w:u w:val="single"/>
    </w:rPr>
  </w:style>
  <w:style w:type="paragraph" w:styleId="NoSpacing">
    <w:name w:val="No Spacing"/>
    <w:uiPriority w:val="1"/>
    <w:qFormat/>
    <w:rsid w:val="00F63D16"/>
    <w:pPr>
      <w:spacing w:after="0" w:line="240" w:lineRule="auto"/>
    </w:pPr>
  </w:style>
  <w:style w:type="paragraph" w:styleId="ListParagraph">
    <w:name w:val="List Paragraph"/>
    <w:basedOn w:val="Normal"/>
    <w:uiPriority w:val="34"/>
    <w:qFormat/>
    <w:rsid w:val="003156D2"/>
    <w:pPr>
      <w:ind w:left="720"/>
      <w:contextualSpacing/>
    </w:pPr>
  </w:style>
  <w:style w:type="paragraph" w:styleId="BalloonText">
    <w:name w:val="Balloon Text"/>
    <w:basedOn w:val="Normal"/>
    <w:link w:val="BalloonTextChar"/>
    <w:uiPriority w:val="99"/>
    <w:semiHidden/>
    <w:unhideWhenUsed/>
    <w:rsid w:val="00EF68A2"/>
    <w:rPr>
      <w:rFonts w:ascii="Tahoma" w:hAnsi="Tahoma" w:cs="Tahoma"/>
      <w:sz w:val="16"/>
      <w:szCs w:val="16"/>
    </w:rPr>
  </w:style>
  <w:style w:type="character" w:customStyle="1" w:styleId="BalloonTextChar">
    <w:name w:val="Balloon Text Char"/>
    <w:basedOn w:val="DefaultParagraphFont"/>
    <w:link w:val="BalloonText"/>
    <w:uiPriority w:val="99"/>
    <w:semiHidden/>
    <w:rsid w:val="00EF68A2"/>
    <w:rPr>
      <w:rFonts w:ascii="Tahoma" w:eastAsia="Times New Roman" w:hAnsi="Tahoma" w:cs="Tahoma"/>
      <w:sz w:val="16"/>
      <w:szCs w:val="16"/>
    </w:rPr>
  </w:style>
  <w:style w:type="paragraph" w:styleId="Footer">
    <w:name w:val="footer"/>
    <w:basedOn w:val="Normal"/>
    <w:link w:val="FooterChar"/>
    <w:uiPriority w:val="99"/>
    <w:unhideWhenUsed/>
    <w:rsid w:val="00B747C9"/>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B747C9"/>
    <w:rPr>
      <w:rFonts w:ascii="Calibri" w:eastAsia="Calibri" w:hAnsi="Calibri" w:cs="Times New Roman"/>
    </w:rPr>
  </w:style>
  <w:style w:type="paragraph" w:styleId="Header">
    <w:name w:val="header"/>
    <w:basedOn w:val="Normal"/>
    <w:link w:val="HeaderChar"/>
    <w:uiPriority w:val="99"/>
    <w:unhideWhenUsed/>
    <w:rsid w:val="00B747C9"/>
    <w:pPr>
      <w:tabs>
        <w:tab w:val="center" w:pos="4680"/>
        <w:tab w:val="right" w:pos="9360"/>
      </w:tabs>
    </w:pPr>
  </w:style>
  <w:style w:type="character" w:customStyle="1" w:styleId="HeaderChar">
    <w:name w:val="Header Char"/>
    <w:basedOn w:val="DefaultParagraphFont"/>
    <w:link w:val="Header"/>
    <w:uiPriority w:val="99"/>
    <w:rsid w:val="00B747C9"/>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2682D"/>
    <w:rPr>
      <w:rFonts w:ascii="Times New Roman" w:eastAsia="Times New Roman" w:hAnsi="Times New Roman" w:cs="Times New Roman"/>
      <w:b/>
      <w:bCs/>
      <w:sz w:val="25"/>
      <w:szCs w:val="24"/>
      <w:lang w:val="es-PR"/>
    </w:rPr>
  </w:style>
  <w:style w:type="table" w:styleId="TableGrid">
    <w:name w:val="Table Grid"/>
    <w:basedOn w:val="TableNormal"/>
    <w:uiPriority w:val="59"/>
    <w:rsid w:val="00C83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6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682D"/>
    <w:pPr>
      <w:keepNext/>
      <w:tabs>
        <w:tab w:val="left" w:pos="6120"/>
      </w:tabs>
      <w:outlineLvl w:val="0"/>
    </w:pPr>
    <w:rPr>
      <w:b/>
      <w:bCs/>
      <w:sz w:val="25"/>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E0E26"/>
    <w:rPr>
      <w:i/>
      <w:iCs/>
    </w:rPr>
  </w:style>
  <w:style w:type="character" w:styleId="Strong">
    <w:name w:val="Strong"/>
    <w:basedOn w:val="DefaultParagraphFont"/>
    <w:uiPriority w:val="22"/>
    <w:qFormat/>
    <w:rsid w:val="002E0E26"/>
    <w:rPr>
      <w:b/>
      <w:bCs/>
    </w:rPr>
  </w:style>
  <w:style w:type="character" w:styleId="Hyperlink">
    <w:name w:val="Hyperlink"/>
    <w:basedOn w:val="DefaultParagraphFont"/>
    <w:uiPriority w:val="99"/>
    <w:unhideWhenUsed/>
    <w:rsid w:val="002E0E26"/>
    <w:rPr>
      <w:color w:val="0000FF"/>
      <w:u w:val="single"/>
    </w:rPr>
  </w:style>
  <w:style w:type="paragraph" w:styleId="NoSpacing">
    <w:name w:val="No Spacing"/>
    <w:uiPriority w:val="1"/>
    <w:qFormat/>
    <w:rsid w:val="00F63D16"/>
    <w:pPr>
      <w:spacing w:after="0" w:line="240" w:lineRule="auto"/>
    </w:pPr>
  </w:style>
  <w:style w:type="paragraph" w:styleId="ListParagraph">
    <w:name w:val="List Paragraph"/>
    <w:basedOn w:val="Normal"/>
    <w:uiPriority w:val="34"/>
    <w:qFormat/>
    <w:rsid w:val="003156D2"/>
    <w:pPr>
      <w:ind w:left="720"/>
      <w:contextualSpacing/>
    </w:pPr>
  </w:style>
  <w:style w:type="paragraph" w:styleId="BalloonText">
    <w:name w:val="Balloon Text"/>
    <w:basedOn w:val="Normal"/>
    <w:link w:val="BalloonTextChar"/>
    <w:uiPriority w:val="99"/>
    <w:semiHidden/>
    <w:unhideWhenUsed/>
    <w:rsid w:val="00EF68A2"/>
    <w:rPr>
      <w:rFonts w:ascii="Tahoma" w:hAnsi="Tahoma" w:cs="Tahoma"/>
      <w:sz w:val="16"/>
      <w:szCs w:val="16"/>
    </w:rPr>
  </w:style>
  <w:style w:type="character" w:customStyle="1" w:styleId="BalloonTextChar">
    <w:name w:val="Balloon Text Char"/>
    <w:basedOn w:val="DefaultParagraphFont"/>
    <w:link w:val="BalloonText"/>
    <w:uiPriority w:val="99"/>
    <w:semiHidden/>
    <w:rsid w:val="00EF68A2"/>
    <w:rPr>
      <w:rFonts w:ascii="Tahoma" w:eastAsia="Times New Roman" w:hAnsi="Tahoma" w:cs="Tahoma"/>
      <w:sz w:val="16"/>
      <w:szCs w:val="16"/>
    </w:rPr>
  </w:style>
  <w:style w:type="paragraph" w:styleId="Footer">
    <w:name w:val="footer"/>
    <w:basedOn w:val="Normal"/>
    <w:link w:val="FooterChar"/>
    <w:uiPriority w:val="99"/>
    <w:unhideWhenUsed/>
    <w:rsid w:val="00B747C9"/>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B747C9"/>
    <w:rPr>
      <w:rFonts w:ascii="Calibri" w:eastAsia="Calibri" w:hAnsi="Calibri" w:cs="Times New Roman"/>
    </w:rPr>
  </w:style>
  <w:style w:type="paragraph" w:styleId="Header">
    <w:name w:val="header"/>
    <w:basedOn w:val="Normal"/>
    <w:link w:val="HeaderChar"/>
    <w:uiPriority w:val="99"/>
    <w:unhideWhenUsed/>
    <w:rsid w:val="00B747C9"/>
    <w:pPr>
      <w:tabs>
        <w:tab w:val="center" w:pos="4680"/>
        <w:tab w:val="right" w:pos="9360"/>
      </w:tabs>
    </w:pPr>
  </w:style>
  <w:style w:type="character" w:customStyle="1" w:styleId="HeaderChar">
    <w:name w:val="Header Char"/>
    <w:basedOn w:val="DefaultParagraphFont"/>
    <w:link w:val="Header"/>
    <w:uiPriority w:val="99"/>
    <w:rsid w:val="00B747C9"/>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2682D"/>
    <w:rPr>
      <w:rFonts w:ascii="Times New Roman" w:eastAsia="Times New Roman" w:hAnsi="Times New Roman" w:cs="Times New Roman"/>
      <w:b/>
      <w:bCs/>
      <w:sz w:val="25"/>
      <w:szCs w:val="24"/>
      <w:lang w:val="es-PR"/>
    </w:rPr>
  </w:style>
  <w:style w:type="table" w:styleId="TableGrid">
    <w:name w:val="Table Grid"/>
    <w:basedOn w:val="TableNormal"/>
    <w:uiPriority w:val="59"/>
    <w:rsid w:val="00C83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83724">
      <w:bodyDiv w:val="1"/>
      <w:marLeft w:val="0"/>
      <w:marRight w:val="0"/>
      <w:marTop w:val="0"/>
      <w:marBottom w:val="0"/>
      <w:divBdr>
        <w:top w:val="none" w:sz="0" w:space="0" w:color="auto"/>
        <w:left w:val="none" w:sz="0" w:space="0" w:color="auto"/>
        <w:bottom w:val="none" w:sz="0" w:space="0" w:color="auto"/>
        <w:right w:val="none" w:sz="0" w:space="0" w:color="auto"/>
      </w:divBdr>
      <w:divsChild>
        <w:div w:id="1879391673">
          <w:marLeft w:val="0"/>
          <w:marRight w:val="0"/>
          <w:marTop w:val="0"/>
          <w:marBottom w:val="0"/>
          <w:divBdr>
            <w:top w:val="none" w:sz="0" w:space="0" w:color="auto"/>
            <w:left w:val="none" w:sz="0" w:space="0" w:color="auto"/>
            <w:bottom w:val="none" w:sz="0" w:space="0" w:color="auto"/>
            <w:right w:val="none" w:sz="0" w:space="0" w:color="auto"/>
          </w:divBdr>
          <w:divsChild>
            <w:div w:id="1317539607">
              <w:marLeft w:val="0"/>
              <w:marRight w:val="0"/>
              <w:marTop w:val="0"/>
              <w:marBottom w:val="0"/>
              <w:divBdr>
                <w:top w:val="none" w:sz="0" w:space="0" w:color="auto"/>
                <w:left w:val="none" w:sz="0" w:space="0" w:color="auto"/>
                <w:bottom w:val="none" w:sz="0" w:space="0" w:color="auto"/>
                <w:right w:val="none" w:sz="0" w:space="0" w:color="auto"/>
              </w:divBdr>
              <w:divsChild>
                <w:div w:id="1578708942">
                  <w:marLeft w:val="0"/>
                  <w:marRight w:val="0"/>
                  <w:marTop w:val="0"/>
                  <w:marBottom w:val="0"/>
                  <w:divBdr>
                    <w:top w:val="none" w:sz="0" w:space="0" w:color="auto"/>
                    <w:left w:val="none" w:sz="0" w:space="0" w:color="auto"/>
                    <w:bottom w:val="none" w:sz="0" w:space="0" w:color="auto"/>
                    <w:right w:val="none" w:sz="0" w:space="0" w:color="auto"/>
                  </w:divBdr>
                </w:div>
                <w:div w:id="393626918">
                  <w:marLeft w:val="0"/>
                  <w:marRight w:val="0"/>
                  <w:marTop w:val="0"/>
                  <w:marBottom w:val="0"/>
                  <w:divBdr>
                    <w:top w:val="none" w:sz="0" w:space="0" w:color="auto"/>
                    <w:left w:val="none" w:sz="0" w:space="0" w:color="auto"/>
                    <w:bottom w:val="none" w:sz="0" w:space="0" w:color="auto"/>
                    <w:right w:val="none" w:sz="0" w:space="0" w:color="auto"/>
                  </w:divBdr>
                </w:div>
                <w:div w:id="1747340531">
                  <w:marLeft w:val="0"/>
                  <w:marRight w:val="0"/>
                  <w:marTop w:val="0"/>
                  <w:marBottom w:val="0"/>
                  <w:divBdr>
                    <w:top w:val="none" w:sz="0" w:space="0" w:color="auto"/>
                    <w:left w:val="none" w:sz="0" w:space="0" w:color="auto"/>
                    <w:bottom w:val="none" w:sz="0" w:space="0" w:color="auto"/>
                    <w:right w:val="none" w:sz="0" w:space="0" w:color="auto"/>
                  </w:divBdr>
                </w:div>
                <w:div w:id="698437233">
                  <w:marLeft w:val="0"/>
                  <w:marRight w:val="0"/>
                  <w:marTop w:val="0"/>
                  <w:marBottom w:val="0"/>
                  <w:divBdr>
                    <w:top w:val="none" w:sz="0" w:space="0" w:color="auto"/>
                    <w:left w:val="none" w:sz="0" w:space="0" w:color="auto"/>
                    <w:bottom w:val="none" w:sz="0" w:space="0" w:color="auto"/>
                    <w:right w:val="none" w:sz="0" w:space="0" w:color="auto"/>
                  </w:divBdr>
                </w:div>
                <w:div w:id="1408068636">
                  <w:marLeft w:val="0"/>
                  <w:marRight w:val="0"/>
                  <w:marTop w:val="0"/>
                  <w:marBottom w:val="0"/>
                  <w:divBdr>
                    <w:top w:val="none" w:sz="0" w:space="0" w:color="auto"/>
                    <w:left w:val="none" w:sz="0" w:space="0" w:color="auto"/>
                    <w:bottom w:val="none" w:sz="0" w:space="0" w:color="auto"/>
                    <w:right w:val="none" w:sz="0" w:space="0" w:color="auto"/>
                  </w:divBdr>
                </w:div>
                <w:div w:id="449083832">
                  <w:marLeft w:val="0"/>
                  <w:marRight w:val="0"/>
                  <w:marTop w:val="0"/>
                  <w:marBottom w:val="0"/>
                  <w:divBdr>
                    <w:top w:val="none" w:sz="0" w:space="0" w:color="auto"/>
                    <w:left w:val="none" w:sz="0" w:space="0" w:color="auto"/>
                    <w:bottom w:val="none" w:sz="0" w:space="0" w:color="auto"/>
                    <w:right w:val="none" w:sz="0" w:space="0" w:color="auto"/>
                  </w:divBdr>
                </w:div>
                <w:div w:id="1188446404">
                  <w:marLeft w:val="0"/>
                  <w:marRight w:val="0"/>
                  <w:marTop w:val="0"/>
                  <w:marBottom w:val="0"/>
                  <w:divBdr>
                    <w:top w:val="none" w:sz="0" w:space="0" w:color="auto"/>
                    <w:left w:val="none" w:sz="0" w:space="0" w:color="auto"/>
                    <w:bottom w:val="none" w:sz="0" w:space="0" w:color="auto"/>
                    <w:right w:val="none" w:sz="0" w:space="0" w:color="auto"/>
                  </w:divBdr>
                </w:div>
                <w:div w:id="1072002051">
                  <w:marLeft w:val="0"/>
                  <w:marRight w:val="0"/>
                  <w:marTop w:val="0"/>
                  <w:marBottom w:val="0"/>
                  <w:divBdr>
                    <w:top w:val="none" w:sz="0" w:space="0" w:color="auto"/>
                    <w:left w:val="none" w:sz="0" w:space="0" w:color="auto"/>
                    <w:bottom w:val="none" w:sz="0" w:space="0" w:color="auto"/>
                    <w:right w:val="none" w:sz="0" w:space="0" w:color="auto"/>
                  </w:divBdr>
                </w:div>
                <w:div w:id="999698541">
                  <w:marLeft w:val="0"/>
                  <w:marRight w:val="0"/>
                  <w:marTop w:val="0"/>
                  <w:marBottom w:val="0"/>
                  <w:divBdr>
                    <w:top w:val="none" w:sz="0" w:space="0" w:color="auto"/>
                    <w:left w:val="none" w:sz="0" w:space="0" w:color="auto"/>
                    <w:bottom w:val="none" w:sz="0" w:space="0" w:color="auto"/>
                    <w:right w:val="none" w:sz="0" w:space="0" w:color="auto"/>
                  </w:divBdr>
                </w:div>
                <w:div w:id="1336301181">
                  <w:marLeft w:val="0"/>
                  <w:marRight w:val="0"/>
                  <w:marTop w:val="0"/>
                  <w:marBottom w:val="0"/>
                  <w:divBdr>
                    <w:top w:val="none" w:sz="0" w:space="0" w:color="auto"/>
                    <w:left w:val="none" w:sz="0" w:space="0" w:color="auto"/>
                    <w:bottom w:val="none" w:sz="0" w:space="0" w:color="auto"/>
                    <w:right w:val="none" w:sz="0" w:space="0" w:color="auto"/>
                  </w:divBdr>
                </w:div>
                <w:div w:id="641740241">
                  <w:marLeft w:val="0"/>
                  <w:marRight w:val="0"/>
                  <w:marTop w:val="0"/>
                  <w:marBottom w:val="0"/>
                  <w:divBdr>
                    <w:top w:val="none" w:sz="0" w:space="0" w:color="auto"/>
                    <w:left w:val="none" w:sz="0" w:space="0" w:color="auto"/>
                    <w:bottom w:val="none" w:sz="0" w:space="0" w:color="auto"/>
                    <w:right w:val="none" w:sz="0" w:space="0" w:color="auto"/>
                  </w:divBdr>
                </w:div>
                <w:div w:id="1339651150">
                  <w:marLeft w:val="0"/>
                  <w:marRight w:val="0"/>
                  <w:marTop w:val="0"/>
                  <w:marBottom w:val="0"/>
                  <w:divBdr>
                    <w:top w:val="none" w:sz="0" w:space="0" w:color="auto"/>
                    <w:left w:val="none" w:sz="0" w:space="0" w:color="auto"/>
                    <w:bottom w:val="none" w:sz="0" w:space="0" w:color="auto"/>
                    <w:right w:val="none" w:sz="0" w:space="0" w:color="auto"/>
                  </w:divBdr>
                </w:div>
                <w:div w:id="1961376977">
                  <w:marLeft w:val="0"/>
                  <w:marRight w:val="0"/>
                  <w:marTop w:val="0"/>
                  <w:marBottom w:val="0"/>
                  <w:divBdr>
                    <w:top w:val="none" w:sz="0" w:space="0" w:color="auto"/>
                    <w:left w:val="none" w:sz="0" w:space="0" w:color="auto"/>
                    <w:bottom w:val="none" w:sz="0" w:space="0" w:color="auto"/>
                    <w:right w:val="none" w:sz="0" w:space="0" w:color="auto"/>
                  </w:divBdr>
                </w:div>
                <w:div w:id="679282934">
                  <w:marLeft w:val="0"/>
                  <w:marRight w:val="0"/>
                  <w:marTop w:val="0"/>
                  <w:marBottom w:val="0"/>
                  <w:divBdr>
                    <w:top w:val="none" w:sz="0" w:space="0" w:color="auto"/>
                    <w:left w:val="none" w:sz="0" w:space="0" w:color="auto"/>
                    <w:bottom w:val="none" w:sz="0" w:space="0" w:color="auto"/>
                    <w:right w:val="none" w:sz="0" w:space="0" w:color="auto"/>
                  </w:divBdr>
                </w:div>
                <w:div w:id="1055813280">
                  <w:marLeft w:val="0"/>
                  <w:marRight w:val="0"/>
                  <w:marTop w:val="0"/>
                  <w:marBottom w:val="0"/>
                  <w:divBdr>
                    <w:top w:val="none" w:sz="0" w:space="0" w:color="auto"/>
                    <w:left w:val="none" w:sz="0" w:space="0" w:color="auto"/>
                    <w:bottom w:val="none" w:sz="0" w:space="0" w:color="auto"/>
                    <w:right w:val="none" w:sz="0" w:space="0" w:color="auto"/>
                  </w:divBdr>
                </w:div>
                <w:div w:id="664283534">
                  <w:marLeft w:val="0"/>
                  <w:marRight w:val="0"/>
                  <w:marTop w:val="0"/>
                  <w:marBottom w:val="0"/>
                  <w:divBdr>
                    <w:top w:val="none" w:sz="0" w:space="0" w:color="auto"/>
                    <w:left w:val="none" w:sz="0" w:space="0" w:color="auto"/>
                    <w:bottom w:val="none" w:sz="0" w:space="0" w:color="auto"/>
                    <w:right w:val="none" w:sz="0" w:space="0" w:color="auto"/>
                  </w:divBdr>
                </w:div>
                <w:div w:id="1346401256">
                  <w:marLeft w:val="0"/>
                  <w:marRight w:val="0"/>
                  <w:marTop w:val="0"/>
                  <w:marBottom w:val="0"/>
                  <w:divBdr>
                    <w:top w:val="none" w:sz="0" w:space="0" w:color="auto"/>
                    <w:left w:val="none" w:sz="0" w:space="0" w:color="auto"/>
                    <w:bottom w:val="none" w:sz="0" w:space="0" w:color="auto"/>
                    <w:right w:val="none" w:sz="0" w:space="0" w:color="auto"/>
                  </w:divBdr>
                </w:div>
                <w:div w:id="763067078">
                  <w:marLeft w:val="0"/>
                  <w:marRight w:val="0"/>
                  <w:marTop w:val="0"/>
                  <w:marBottom w:val="0"/>
                  <w:divBdr>
                    <w:top w:val="none" w:sz="0" w:space="0" w:color="auto"/>
                    <w:left w:val="none" w:sz="0" w:space="0" w:color="auto"/>
                    <w:bottom w:val="none" w:sz="0" w:space="0" w:color="auto"/>
                    <w:right w:val="none" w:sz="0" w:space="0" w:color="auto"/>
                  </w:divBdr>
                </w:div>
                <w:div w:id="634603481">
                  <w:marLeft w:val="0"/>
                  <w:marRight w:val="0"/>
                  <w:marTop w:val="0"/>
                  <w:marBottom w:val="0"/>
                  <w:divBdr>
                    <w:top w:val="none" w:sz="0" w:space="0" w:color="auto"/>
                    <w:left w:val="none" w:sz="0" w:space="0" w:color="auto"/>
                    <w:bottom w:val="none" w:sz="0" w:space="0" w:color="auto"/>
                    <w:right w:val="none" w:sz="0" w:space="0" w:color="auto"/>
                  </w:divBdr>
                </w:div>
                <w:div w:id="2021348741">
                  <w:marLeft w:val="0"/>
                  <w:marRight w:val="0"/>
                  <w:marTop w:val="0"/>
                  <w:marBottom w:val="0"/>
                  <w:divBdr>
                    <w:top w:val="none" w:sz="0" w:space="0" w:color="auto"/>
                    <w:left w:val="none" w:sz="0" w:space="0" w:color="auto"/>
                    <w:bottom w:val="none" w:sz="0" w:space="0" w:color="auto"/>
                    <w:right w:val="none" w:sz="0" w:space="0" w:color="auto"/>
                  </w:divBdr>
                </w:div>
                <w:div w:id="1603223295">
                  <w:marLeft w:val="0"/>
                  <w:marRight w:val="0"/>
                  <w:marTop w:val="0"/>
                  <w:marBottom w:val="0"/>
                  <w:divBdr>
                    <w:top w:val="none" w:sz="0" w:space="0" w:color="auto"/>
                    <w:left w:val="none" w:sz="0" w:space="0" w:color="auto"/>
                    <w:bottom w:val="none" w:sz="0" w:space="0" w:color="auto"/>
                    <w:right w:val="none" w:sz="0" w:space="0" w:color="auto"/>
                  </w:divBdr>
                </w:div>
                <w:div w:id="1726946731">
                  <w:marLeft w:val="0"/>
                  <w:marRight w:val="0"/>
                  <w:marTop w:val="0"/>
                  <w:marBottom w:val="0"/>
                  <w:divBdr>
                    <w:top w:val="none" w:sz="0" w:space="0" w:color="auto"/>
                    <w:left w:val="none" w:sz="0" w:space="0" w:color="auto"/>
                    <w:bottom w:val="none" w:sz="0" w:space="0" w:color="auto"/>
                    <w:right w:val="none" w:sz="0" w:space="0" w:color="auto"/>
                  </w:divBdr>
                </w:div>
                <w:div w:id="785122779">
                  <w:marLeft w:val="0"/>
                  <w:marRight w:val="0"/>
                  <w:marTop w:val="0"/>
                  <w:marBottom w:val="0"/>
                  <w:divBdr>
                    <w:top w:val="none" w:sz="0" w:space="0" w:color="auto"/>
                    <w:left w:val="none" w:sz="0" w:space="0" w:color="auto"/>
                    <w:bottom w:val="none" w:sz="0" w:space="0" w:color="auto"/>
                    <w:right w:val="none" w:sz="0" w:space="0" w:color="auto"/>
                  </w:divBdr>
                </w:div>
                <w:div w:id="678580578">
                  <w:marLeft w:val="0"/>
                  <w:marRight w:val="0"/>
                  <w:marTop w:val="0"/>
                  <w:marBottom w:val="0"/>
                  <w:divBdr>
                    <w:top w:val="none" w:sz="0" w:space="0" w:color="auto"/>
                    <w:left w:val="none" w:sz="0" w:space="0" w:color="auto"/>
                    <w:bottom w:val="none" w:sz="0" w:space="0" w:color="auto"/>
                    <w:right w:val="none" w:sz="0" w:space="0" w:color="auto"/>
                  </w:divBdr>
                </w:div>
                <w:div w:id="1213227331">
                  <w:marLeft w:val="0"/>
                  <w:marRight w:val="0"/>
                  <w:marTop w:val="0"/>
                  <w:marBottom w:val="0"/>
                  <w:divBdr>
                    <w:top w:val="none" w:sz="0" w:space="0" w:color="auto"/>
                    <w:left w:val="none" w:sz="0" w:space="0" w:color="auto"/>
                    <w:bottom w:val="none" w:sz="0" w:space="0" w:color="auto"/>
                    <w:right w:val="none" w:sz="0" w:space="0" w:color="auto"/>
                  </w:divBdr>
                </w:div>
                <w:div w:id="1651598566">
                  <w:marLeft w:val="0"/>
                  <w:marRight w:val="0"/>
                  <w:marTop w:val="0"/>
                  <w:marBottom w:val="0"/>
                  <w:divBdr>
                    <w:top w:val="none" w:sz="0" w:space="0" w:color="auto"/>
                    <w:left w:val="none" w:sz="0" w:space="0" w:color="auto"/>
                    <w:bottom w:val="none" w:sz="0" w:space="0" w:color="auto"/>
                    <w:right w:val="none" w:sz="0" w:space="0" w:color="auto"/>
                  </w:divBdr>
                </w:div>
                <w:div w:id="1888486641">
                  <w:marLeft w:val="0"/>
                  <w:marRight w:val="0"/>
                  <w:marTop w:val="0"/>
                  <w:marBottom w:val="0"/>
                  <w:divBdr>
                    <w:top w:val="none" w:sz="0" w:space="0" w:color="auto"/>
                    <w:left w:val="none" w:sz="0" w:space="0" w:color="auto"/>
                    <w:bottom w:val="none" w:sz="0" w:space="0" w:color="auto"/>
                    <w:right w:val="none" w:sz="0" w:space="0" w:color="auto"/>
                  </w:divBdr>
                </w:div>
                <w:div w:id="1756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535C80805766499BFA50E15BBE266B" ma:contentTypeVersion="0" ma:contentTypeDescription="Create a new document." ma:contentTypeScope="" ma:versionID="52fff474b1af6c3123bd106f2d84abf2">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E93B08-554F-4CFD-BA63-4640E355350C}"/>
</file>

<file path=customXml/itemProps2.xml><?xml version="1.0" encoding="utf-8"?>
<ds:datastoreItem xmlns:ds="http://schemas.openxmlformats.org/officeDocument/2006/customXml" ds:itemID="{19C7E5AA-5F75-42F6-B4EE-30EE695C4D29}"/>
</file>

<file path=customXml/itemProps3.xml><?xml version="1.0" encoding="utf-8"?>
<ds:datastoreItem xmlns:ds="http://schemas.openxmlformats.org/officeDocument/2006/customXml" ds:itemID="{B177E10E-C967-44E4-AA6F-5F7FF024B0DD}"/>
</file>

<file path=customXml/itemProps4.xml><?xml version="1.0" encoding="utf-8"?>
<ds:datastoreItem xmlns:ds="http://schemas.openxmlformats.org/officeDocument/2006/customXml" ds:itemID="{173A6092-9FE3-4819-93FC-EC3FE864A87B}"/>
</file>

<file path=docProps/app.xml><?xml version="1.0" encoding="utf-8"?>
<Properties xmlns="http://schemas.openxmlformats.org/officeDocument/2006/extended-properties" xmlns:vt="http://schemas.openxmlformats.org/officeDocument/2006/docPropsVTypes">
  <Template>Normal</Template>
  <TotalTime>0</TotalTime>
  <Pages>13</Pages>
  <Words>4210</Words>
  <Characters>24002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lramos</dc:creator>
  <cp:lastModifiedBy>Olga Sanchez</cp:lastModifiedBy>
  <cp:revision>2</cp:revision>
  <cp:lastPrinted>2016-10-25T13:01:00Z</cp:lastPrinted>
  <dcterms:created xsi:type="dcterms:W3CDTF">2016-10-27T15:47:00Z</dcterms:created>
  <dcterms:modified xsi:type="dcterms:W3CDTF">2016-10-27T15:47:00Z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0x01010053535C80805766499BFA50E15BBE266B</vt:lpwstr>
  </property>
</Properties>
</file>